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5B0E" w14:textId="77777777" w:rsidR="00505E0A" w:rsidRPr="00842C15" w:rsidRDefault="00505E0A" w:rsidP="007E4A1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AE43ED5" w14:textId="77777777" w:rsidR="007E4A13" w:rsidRPr="00842C15" w:rsidRDefault="007E4A13" w:rsidP="007E4A13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D6B2D78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33BC1EA0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52EFA548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b/>
          <w:bCs/>
          <w:color w:val="000000"/>
          <w:sz w:val="23"/>
          <w:szCs w:val="23"/>
        </w:rPr>
        <w:t>COMMERCIALISTI: FONDAZIONI “PUBBLICHE”, UN IBRIDO DA DECIFRARE</w:t>
      </w:r>
    </w:p>
    <w:p w14:paraId="4EA4AE18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</w:p>
    <w:p w14:paraId="1EB7C0FD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b/>
          <w:bCs/>
          <w:color w:val="000000"/>
          <w:sz w:val="23"/>
          <w:szCs w:val="23"/>
        </w:rPr>
        <w:t>Documento dell’Osservatorio Enti Pubblici e Società partecipate del Consiglio Nazionale della categoria. Un Il lavoro che punta a fornire le coordinate per ricomporre il puzzle normativo in un panorama frastagliato</w:t>
      </w:r>
    </w:p>
    <w:p w14:paraId="0A735D77" w14:textId="77777777" w:rsidR="001D1812" w:rsidRPr="00D05CD2" w:rsidRDefault="001D1812" w:rsidP="001D181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06D55083" w14:textId="6AF65EBB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Roma, 22 gennaio 2025 </w:t>
      </w:r>
      <w:r w:rsidR="00023591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– </w:t>
      </w:r>
      <w:r w:rsidR="00023591" w:rsidRPr="00D05CD2">
        <w:rPr>
          <w:rFonts w:ascii="Arial" w:eastAsia="Times New Roman" w:hAnsi="Arial" w:cs="Arial"/>
          <w:color w:val="000000"/>
          <w:sz w:val="23"/>
          <w:szCs w:val="23"/>
        </w:rPr>
        <w:t>“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Fondazioni Pubbliche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>” è il titolo del nuovo documento pubblicato dall’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Osservatorio Enti Pubblici e Società partecipate 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>del Consiglio Nazionale dei Commercialisti, che si occupa delle fondazioni di diritto privato caratterizzate da un contatto qualificato, più o meno intenso, con amministrazioni pubbliche.  </w:t>
      </w:r>
    </w:p>
    <w:p w14:paraId="407E607F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4B48B6BC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“Il fenomeno – sottolinea nella presentazione del documento il presidente del Consiglio nazionale, 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Elbano de Nuccio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 – è poco studiato ma sempre più ricorrente nella prassi. Ed è foriero di non pochi dubbi applicativi perché la materia, a differenza del settore societario, non è regolata da un testo unico e l’interprete non può quindi contare su un solido apparato di principi e definizioni. Il lavoro dell’osservatorio è estremamente originale e si incarica di fornire le coordinate per ricomporre il puzzle normativo in un panorama frastagliato”. </w:t>
      </w:r>
    </w:p>
    <w:p w14:paraId="3F9738E4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276E6091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“La peculiarità di tali fondazioni – spiega il coordinatore scientifico dell’Osservatorio Enti Pubblici e Società partecipate, 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Davide di Russo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> – risiede nel “contatto” qualificato con la P.A., integrato dal fatto che la P.A. è – alternativamente o cumulativamente - fondatrice, partecipante, o semplicemente titolare di un potere di nomina degli organi o comunque in grado di condizionare l’attività della fondazione in forza di relazioni contrattuali. In tutti questi casi, si pone la questione della potenziale applicabilità a un ente di diritto privato di segmenti di disciplina pubblicistica, tanto più estesi quanto più penetrante e qualificato è il contatto”.</w:t>
      </w:r>
    </w:p>
    <w:p w14:paraId="507B5711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26C81074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Il documento evidenzia anzitutto entro che limiti le PA possono costituire e/o partecipare a fondazioni, nonché quali attività possono svolgere per loro tramite e secondo quali modalità. Quindi sono passate in rassegna le norme di diritto pubblico suscettibili di rilevare e a quali condizioni. Infine, dopo aver affrontato le questioni relative alla giurisdizione contabile, ai limiti al sostegno finanziario pubblico, alla trasformazione di società partecipata in fondazione “pubblica”, alla liquidazione, estinzione e crisi della fondazione, il documento si chiude con un </w:t>
      </w:r>
      <w:r w:rsidRPr="00D05CD2">
        <w:rPr>
          <w:rFonts w:ascii="Arial" w:eastAsia="Times New Roman" w:hAnsi="Arial" w:cs="Arial"/>
          <w:i/>
          <w:iCs/>
          <w:color w:val="000000"/>
          <w:sz w:val="23"/>
          <w:szCs w:val="23"/>
        </w:rPr>
        <w:t>focus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> in materia tributaria e fiscale”.</w:t>
      </w:r>
    </w:p>
    <w:p w14:paraId="642BED7B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0442827F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Hanno contributo alla redazione del documento, nella loro qualità di membri dell’Osservatorio, Giancarlo </w:t>
      </w:r>
      <w:proofErr w:type="spellStart"/>
      <w:r w:rsidRPr="00D05CD2">
        <w:rPr>
          <w:rFonts w:ascii="Arial" w:eastAsia="Times New Roman" w:hAnsi="Arial" w:cs="Arial"/>
          <w:color w:val="000000"/>
          <w:sz w:val="23"/>
          <w:szCs w:val="23"/>
        </w:rPr>
        <w:t>Astegiano</w:t>
      </w:r>
      <w:proofErr w:type="spellEnd"/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, Filippo Barbagallo, Salvatore Bilardo, Harald Bonura, Marco Castellani, Antonio Colaianni, Giordano Colarullo, Luigi Di Marco, Andrea Ferri, Stefano </w:t>
      </w:r>
      <w:proofErr w:type="spellStart"/>
      <w:r w:rsidRPr="00D05CD2">
        <w:rPr>
          <w:rFonts w:ascii="Arial" w:eastAsia="Times New Roman" w:hAnsi="Arial" w:cs="Arial"/>
          <w:color w:val="000000"/>
          <w:sz w:val="23"/>
          <w:szCs w:val="23"/>
        </w:rPr>
        <w:t>Glinianski</w:t>
      </w:r>
      <w:proofErr w:type="spellEnd"/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, Rocco Guglielmo, Bernardo Giorgio Mattarella, Tommaso Miele, Veronica Nicotra, Luciano Panzani, Francesca </w:t>
      </w:r>
      <w:proofErr w:type="spellStart"/>
      <w:r w:rsidRPr="00D05CD2">
        <w:rPr>
          <w:rFonts w:ascii="Arial" w:eastAsia="Times New Roman" w:hAnsi="Arial" w:cs="Arial"/>
          <w:color w:val="000000"/>
          <w:sz w:val="23"/>
          <w:szCs w:val="23"/>
        </w:rPr>
        <w:t>Palisi</w:t>
      </w:r>
      <w:proofErr w:type="spellEnd"/>
      <w:r w:rsidRPr="00D05CD2">
        <w:rPr>
          <w:rFonts w:ascii="Arial" w:eastAsia="Times New Roman" w:hAnsi="Arial" w:cs="Arial"/>
          <w:color w:val="000000"/>
          <w:sz w:val="23"/>
          <w:szCs w:val="23"/>
        </w:rPr>
        <w:t>, Alessandro Pettinato, Riccardo Ranalli, Cinzia Simeone, Rosa Valentino.</w:t>
      </w:r>
    </w:p>
    <w:p w14:paraId="0694EA74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19F30CFB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I consiglieri nazionali dei commercialisti delegati agli Enti locali sono 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Cristina Bertinelli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 e 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Giuseppe Venneri.</w:t>
      </w:r>
    </w:p>
    <w:p w14:paraId="1C45AC70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37F50175" w14:textId="190BF8E1" w:rsidR="001D1812" w:rsidRPr="00D05CD2" w:rsidRDefault="001D1812" w:rsidP="001D1812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Il presidente aggiunto della Corte dei conti, </w:t>
      </w:r>
      <w:r w:rsidRPr="004D2DDB">
        <w:rPr>
          <w:rFonts w:ascii="Arial" w:eastAsia="Times New Roman" w:hAnsi="Arial" w:cs="Arial"/>
          <w:b/>
          <w:bCs/>
          <w:color w:val="000000"/>
          <w:sz w:val="23"/>
          <w:szCs w:val="23"/>
        </w:rPr>
        <w:t>Tommaso Miele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 xml:space="preserve">, ha proposto, anche allo scopo di valorizzare e pubblicizzare il documento, di approfondire il tema in un apposito convegno da organizzare nel mese di aprile, che potrebbe svolgersi presso la </w:t>
      </w:r>
      <w:r w:rsidR="00E470FB" w:rsidRPr="00D05CD2">
        <w:rPr>
          <w:rFonts w:ascii="Arial" w:eastAsia="Times New Roman" w:hAnsi="Arial" w:cs="Arial"/>
          <w:color w:val="000000"/>
          <w:sz w:val="23"/>
          <w:szCs w:val="23"/>
        </w:rPr>
        <w:t>Corte dei conti</w:t>
      </w:r>
      <w:r w:rsidRPr="00D05CD2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4D45A4E5" w14:textId="77777777" w:rsidR="001D1812" w:rsidRPr="00D05CD2" w:rsidRDefault="001D1812" w:rsidP="001D1812">
      <w:pPr>
        <w:jc w:val="both"/>
        <w:rPr>
          <w:rFonts w:ascii="Arial" w:eastAsia="Times New Roman" w:hAnsi="Arial" w:cs="Arial"/>
          <w:color w:val="ED5C57"/>
          <w:sz w:val="23"/>
          <w:szCs w:val="23"/>
        </w:rPr>
      </w:pPr>
    </w:p>
    <w:p w14:paraId="1323771E" w14:textId="77777777" w:rsidR="00437EA9" w:rsidRPr="00D05CD2" w:rsidRDefault="00437EA9" w:rsidP="001D1812">
      <w:pPr>
        <w:jc w:val="center"/>
        <w:rPr>
          <w:rFonts w:ascii="Arial" w:hAnsi="Arial" w:cs="Arial"/>
          <w:sz w:val="23"/>
          <w:szCs w:val="23"/>
        </w:rPr>
      </w:pPr>
    </w:p>
    <w:sectPr w:rsidR="00437EA9" w:rsidRPr="00D05C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761C" w14:textId="77777777" w:rsidR="00AD0F19" w:rsidRDefault="00AD0F19" w:rsidP="008A20F9">
      <w:r>
        <w:separator/>
      </w:r>
    </w:p>
  </w:endnote>
  <w:endnote w:type="continuationSeparator" w:id="0">
    <w:p w14:paraId="7ED79B99" w14:textId="77777777" w:rsidR="00AD0F19" w:rsidRDefault="00AD0F19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B0FA" w14:textId="77777777" w:rsidR="00AD0F19" w:rsidRDefault="00AD0F19" w:rsidP="008A20F9">
      <w:r>
        <w:separator/>
      </w:r>
    </w:p>
  </w:footnote>
  <w:footnote w:type="continuationSeparator" w:id="0">
    <w:p w14:paraId="057CB4F8" w14:textId="77777777" w:rsidR="00AD0F19" w:rsidRDefault="00AD0F19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23591"/>
    <w:rsid w:val="00036A1E"/>
    <w:rsid w:val="00052BAB"/>
    <w:rsid w:val="00055F3C"/>
    <w:rsid w:val="00073211"/>
    <w:rsid w:val="000816F2"/>
    <w:rsid w:val="00081979"/>
    <w:rsid w:val="00082A9D"/>
    <w:rsid w:val="000A7CC9"/>
    <w:rsid w:val="000D27AC"/>
    <w:rsid w:val="000E5CC8"/>
    <w:rsid w:val="000E66F1"/>
    <w:rsid w:val="000E7227"/>
    <w:rsid w:val="000F3B82"/>
    <w:rsid w:val="00115409"/>
    <w:rsid w:val="0012203C"/>
    <w:rsid w:val="00123117"/>
    <w:rsid w:val="001326DC"/>
    <w:rsid w:val="001569C4"/>
    <w:rsid w:val="00184C9B"/>
    <w:rsid w:val="001936AE"/>
    <w:rsid w:val="00193ECA"/>
    <w:rsid w:val="001D1812"/>
    <w:rsid w:val="001F164F"/>
    <w:rsid w:val="00213E08"/>
    <w:rsid w:val="00230686"/>
    <w:rsid w:val="002330A2"/>
    <w:rsid w:val="00246A14"/>
    <w:rsid w:val="002509B2"/>
    <w:rsid w:val="00251068"/>
    <w:rsid w:val="00251F37"/>
    <w:rsid w:val="00253393"/>
    <w:rsid w:val="00253551"/>
    <w:rsid w:val="00264425"/>
    <w:rsid w:val="0026577C"/>
    <w:rsid w:val="00271D93"/>
    <w:rsid w:val="002957A8"/>
    <w:rsid w:val="002D55EB"/>
    <w:rsid w:val="002F4C13"/>
    <w:rsid w:val="00325C28"/>
    <w:rsid w:val="00336F75"/>
    <w:rsid w:val="00361C49"/>
    <w:rsid w:val="00383E28"/>
    <w:rsid w:val="00385A9E"/>
    <w:rsid w:val="0039528E"/>
    <w:rsid w:val="003B396B"/>
    <w:rsid w:val="003F7323"/>
    <w:rsid w:val="00403777"/>
    <w:rsid w:val="00410A7B"/>
    <w:rsid w:val="00423A7B"/>
    <w:rsid w:val="00437EA9"/>
    <w:rsid w:val="00453CAC"/>
    <w:rsid w:val="00455CEA"/>
    <w:rsid w:val="0045686E"/>
    <w:rsid w:val="00470DE9"/>
    <w:rsid w:val="00475192"/>
    <w:rsid w:val="004808BB"/>
    <w:rsid w:val="00495D0D"/>
    <w:rsid w:val="00497CC7"/>
    <w:rsid w:val="004B03D3"/>
    <w:rsid w:val="004D2DDB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94B66"/>
    <w:rsid w:val="005A1CDB"/>
    <w:rsid w:val="005D113A"/>
    <w:rsid w:val="005F104A"/>
    <w:rsid w:val="005F1D7D"/>
    <w:rsid w:val="0061470B"/>
    <w:rsid w:val="00616738"/>
    <w:rsid w:val="0063007C"/>
    <w:rsid w:val="006359F9"/>
    <w:rsid w:val="006368B3"/>
    <w:rsid w:val="006406DF"/>
    <w:rsid w:val="0067508F"/>
    <w:rsid w:val="00685906"/>
    <w:rsid w:val="006A3700"/>
    <w:rsid w:val="006D7DB0"/>
    <w:rsid w:val="006F0340"/>
    <w:rsid w:val="00730088"/>
    <w:rsid w:val="007353A0"/>
    <w:rsid w:val="00737AB1"/>
    <w:rsid w:val="00750C0F"/>
    <w:rsid w:val="0079253B"/>
    <w:rsid w:val="00795EAF"/>
    <w:rsid w:val="007C0DA7"/>
    <w:rsid w:val="007D3A62"/>
    <w:rsid w:val="007E0C83"/>
    <w:rsid w:val="007E4A13"/>
    <w:rsid w:val="007F6A8D"/>
    <w:rsid w:val="0080260A"/>
    <w:rsid w:val="00842C15"/>
    <w:rsid w:val="008435D3"/>
    <w:rsid w:val="00881569"/>
    <w:rsid w:val="008A20F9"/>
    <w:rsid w:val="008A68AA"/>
    <w:rsid w:val="008B36DC"/>
    <w:rsid w:val="008B5892"/>
    <w:rsid w:val="008E6D2A"/>
    <w:rsid w:val="008F7875"/>
    <w:rsid w:val="00911316"/>
    <w:rsid w:val="00920E92"/>
    <w:rsid w:val="00960DAA"/>
    <w:rsid w:val="00976B3F"/>
    <w:rsid w:val="00997243"/>
    <w:rsid w:val="009B029E"/>
    <w:rsid w:val="009B69D9"/>
    <w:rsid w:val="009D653E"/>
    <w:rsid w:val="009D65D1"/>
    <w:rsid w:val="009D7B64"/>
    <w:rsid w:val="009D7DF7"/>
    <w:rsid w:val="009E7612"/>
    <w:rsid w:val="009F3790"/>
    <w:rsid w:val="00A02CDA"/>
    <w:rsid w:val="00A21A98"/>
    <w:rsid w:val="00A27EC8"/>
    <w:rsid w:val="00A75A96"/>
    <w:rsid w:val="00A83ACB"/>
    <w:rsid w:val="00A87349"/>
    <w:rsid w:val="00A9564E"/>
    <w:rsid w:val="00A961CD"/>
    <w:rsid w:val="00AB3193"/>
    <w:rsid w:val="00AB51FE"/>
    <w:rsid w:val="00AD0F19"/>
    <w:rsid w:val="00AD683B"/>
    <w:rsid w:val="00AE5C47"/>
    <w:rsid w:val="00AF48E9"/>
    <w:rsid w:val="00AF496D"/>
    <w:rsid w:val="00B622FF"/>
    <w:rsid w:val="00B81758"/>
    <w:rsid w:val="00B92B34"/>
    <w:rsid w:val="00BD752B"/>
    <w:rsid w:val="00BE6B22"/>
    <w:rsid w:val="00C32D04"/>
    <w:rsid w:val="00C54A7A"/>
    <w:rsid w:val="00C653DB"/>
    <w:rsid w:val="00C71E02"/>
    <w:rsid w:val="00C751BF"/>
    <w:rsid w:val="00C8258D"/>
    <w:rsid w:val="00C93E34"/>
    <w:rsid w:val="00CC5721"/>
    <w:rsid w:val="00CC7EBC"/>
    <w:rsid w:val="00CD6241"/>
    <w:rsid w:val="00D05CD2"/>
    <w:rsid w:val="00D2682A"/>
    <w:rsid w:val="00D3338A"/>
    <w:rsid w:val="00D4253F"/>
    <w:rsid w:val="00D52088"/>
    <w:rsid w:val="00D66040"/>
    <w:rsid w:val="00D66270"/>
    <w:rsid w:val="00DA19F5"/>
    <w:rsid w:val="00DC26A1"/>
    <w:rsid w:val="00DC7953"/>
    <w:rsid w:val="00DD42BD"/>
    <w:rsid w:val="00DD4CF8"/>
    <w:rsid w:val="00DE22D9"/>
    <w:rsid w:val="00E01B44"/>
    <w:rsid w:val="00E31675"/>
    <w:rsid w:val="00E33560"/>
    <w:rsid w:val="00E470FB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dcterms:created xsi:type="dcterms:W3CDTF">2025-01-20T10:31:00Z</dcterms:created>
  <dcterms:modified xsi:type="dcterms:W3CDTF">2025-01-22T12:59:00Z</dcterms:modified>
</cp:coreProperties>
</file>