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F7A83" w14:textId="77777777" w:rsidR="00006C06" w:rsidRDefault="00006C06" w:rsidP="00006C06">
      <w:pPr>
        <w:jc w:val="both"/>
      </w:pPr>
    </w:p>
    <w:p w14:paraId="71A8400B" w14:textId="77777777" w:rsidR="00125D65" w:rsidRPr="00125D65" w:rsidRDefault="00125D65" w:rsidP="00125D65">
      <w:pPr>
        <w:spacing w:after="120" w:line="240" w:lineRule="auto"/>
        <w:jc w:val="both"/>
        <w:rPr>
          <w:rFonts w:ascii="Bookman Old Style" w:hAnsi="Bookman Old Style" w:cs="Aptos"/>
          <w:kern w:val="0"/>
        </w:rPr>
      </w:pPr>
    </w:p>
    <w:p w14:paraId="5EADD9E9" w14:textId="77777777" w:rsidR="00125D65" w:rsidRPr="00125D65" w:rsidRDefault="00125D65" w:rsidP="00125D65">
      <w:pPr>
        <w:spacing w:after="0" w:line="240" w:lineRule="auto"/>
        <w:jc w:val="center"/>
        <w:rPr>
          <w:rFonts w:ascii="Bookman Old Style" w:hAnsi="Bookman Old Style" w:cs="Aptos"/>
          <w:b/>
          <w:bCs/>
          <w:kern w:val="0"/>
        </w:rPr>
      </w:pPr>
      <w:r w:rsidRPr="00125D65">
        <w:rPr>
          <w:rFonts w:ascii="Bookman Old Style" w:hAnsi="Bookman Old Style" w:cs="Aptos"/>
          <w:noProof/>
          <w:kern w:val="0"/>
          <w:lang w:eastAsia="it-IT"/>
          <w14:ligatures w14:val="none"/>
        </w:rPr>
        <w:drawing>
          <wp:inline distT="0" distB="0" distL="0" distR="0" wp14:anchorId="2EB4EB69" wp14:editId="6DB7E638">
            <wp:extent cx="792000" cy="1170785"/>
            <wp:effectExtent l="0" t="0" r="8255" b="0"/>
            <wp:docPr id="1" name="Immagine 1" descr="Immagine che contiene disegnand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ANCI Istituzional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92000" cy="1170785"/>
                    </a:xfrm>
                    <a:prstGeom prst="rect">
                      <a:avLst/>
                    </a:prstGeom>
                  </pic:spPr>
                </pic:pic>
              </a:graphicData>
            </a:graphic>
          </wp:inline>
        </w:drawing>
      </w:r>
    </w:p>
    <w:p w14:paraId="4E8D997C" w14:textId="77777777" w:rsidR="00125D65" w:rsidRPr="00125D65" w:rsidRDefault="00125D65" w:rsidP="00125D65">
      <w:pPr>
        <w:spacing w:after="0" w:line="240" w:lineRule="auto"/>
        <w:jc w:val="center"/>
        <w:rPr>
          <w:rFonts w:ascii="Bookman Old Style" w:hAnsi="Bookman Old Style" w:cs="Aptos"/>
          <w:b/>
          <w:bCs/>
          <w:kern w:val="0"/>
        </w:rPr>
      </w:pPr>
    </w:p>
    <w:p w14:paraId="2945FBB8" w14:textId="77777777" w:rsidR="00125D65" w:rsidRPr="00125D65" w:rsidRDefault="00125D65" w:rsidP="00125D65">
      <w:pPr>
        <w:spacing w:after="0" w:line="240" w:lineRule="auto"/>
        <w:jc w:val="center"/>
        <w:rPr>
          <w:rFonts w:ascii="Bookman Old Style" w:hAnsi="Bookman Old Style" w:cs="Aptos"/>
          <w:b/>
          <w:bCs/>
          <w:kern w:val="0"/>
        </w:rPr>
      </w:pPr>
    </w:p>
    <w:p w14:paraId="7CD69B3B" w14:textId="77777777" w:rsidR="00125D65" w:rsidRPr="00125D65" w:rsidRDefault="00125D65" w:rsidP="00125D65">
      <w:pPr>
        <w:spacing w:after="0" w:line="240" w:lineRule="auto"/>
        <w:jc w:val="center"/>
        <w:rPr>
          <w:rFonts w:ascii="Bookman Old Style" w:hAnsi="Bookman Old Style" w:cs="Aptos"/>
          <w:b/>
          <w:bCs/>
          <w:kern w:val="0"/>
        </w:rPr>
      </w:pPr>
    </w:p>
    <w:p w14:paraId="10A460E5" w14:textId="762BDC9B" w:rsidR="0074406B" w:rsidRDefault="00125D65" w:rsidP="00125D65">
      <w:pPr>
        <w:spacing w:after="0" w:line="240" w:lineRule="auto"/>
        <w:jc w:val="center"/>
        <w:rPr>
          <w:rFonts w:ascii="Bookman Old Style" w:hAnsi="Bookman Old Style" w:cs="Aptos"/>
          <w:b/>
          <w:color w:val="0070C0"/>
          <w:kern w:val="0"/>
          <w14:ligatures w14:val="none"/>
        </w:rPr>
      </w:pPr>
      <w:r w:rsidRPr="00125D65">
        <w:rPr>
          <w:rFonts w:ascii="Bookman Old Style" w:hAnsi="Bookman Old Style" w:cs="Aptos"/>
          <w:b/>
          <w:color w:val="0070C0"/>
          <w:kern w:val="0"/>
          <w14:ligatures w14:val="none"/>
        </w:rPr>
        <w:t>NOTA SINTETICA SUL</w:t>
      </w:r>
      <w:r w:rsidR="0074406B">
        <w:rPr>
          <w:rFonts w:ascii="Bookman Old Style" w:hAnsi="Bookman Old Style" w:cs="Aptos"/>
          <w:b/>
          <w:color w:val="0070C0"/>
          <w:kern w:val="0"/>
          <w14:ligatures w14:val="none"/>
        </w:rPr>
        <w:t xml:space="preserve"> DECRETO LEGGE</w:t>
      </w:r>
      <w:r w:rsidR="009E414B">
        <w:rPr>
          <w:rFonts w:ascii="Bookman Old Style" w:hAnsi="Bookman Old Style" w:cs="Aptos"/>
          <w:b/>
          <w:color w:val="0070C0"/>
          <w:kern w:val="0"/>
          <w14:ligatures w14:val="none"/>
        </w:rPr>
        <w:t xml:space="preserve"> </w:t>
      </w:r>
      <w:r w:rsidR="0074406B">
        <w:rPr>
          <w:rFonts w:ascii="Bookman Old Style" w:hAnsi="Bookman Old Style" w:cs="Aptos"/>
          <w:b/>
          <w:color w:val="0070C0"/>
          <w:kern w:val="0"/>
          <w14:ligatures w14:val="none"/>
        </w:rPr>
        <w:t xml:space="preserve"> </w:t>
      </w:r>
      <w:r w:rsidR="00161425">
        <w:rPr>
          <w:rFonts w:ascii="Bookman Old Style" w:hAnsi="Bookman Old Style" w:cs="Aptos"/>
          <w:b/>
          <w:color w:val="0070C0"/>
          <w:kern w:val="0"/>
          <w14:ligatures w14:val="none"/>
        </w:rPr>
        <w:t>14 MARZO 2025 n</w:t>
      </w:r>
      <w:r w:rsidR="00212759">
        <w:rPr>
          <w:rFonts w:ascii="Bookman Old Style" w:hAnsi="Bookman Old Style" w:cs="Aptos"/>
          <w:b/>
          <w:color w:val="0070C0"/>
          <w:kern w:val="0"/>
          <w14:ligatures w14:val="none"/>
        </w:rPr>
        <w:t>. 25 CONVERTITO IN LEGGE 9 MAGGIO 2025, N. 69 RECANTE “</w:t>
      </w:r>
      <w:r w:rsidR="00212759" w:rsidRPr="0074406B">
        <w:rPr>
          <w:rFonts w:ascii="Bookman Old Style" w:hAnsi="Bookman Old Style" w:cs="Aptos"/>
          <w:b/>
          <w:color w:val="0070C0"/>
          <w:kern w:val="0"/>
          <w14:ligatures w14:val="none"/>
        </w:rPr>
        <w:t>DISPOSIZIONI URGENTI IN MATERIA DI RECLUTAMENTO DELLE PUBBLICHE AMMINISTRAZIONI</w:t>
      </w:r>
      <w:r w:rsidR="0074406B">
        <w:rPr>
          <w:rFonts w:ascii="Bookman Old Style" w:hAnsi="Bookman Old Style" w:cs="Aptos"/>
          <w:b/>
          <w:color w:val="0070C0"/>
          <w:kern w:val="0"/>
          <w14:ligatures w14:val="none"/>
        </w:rPr>
        <w:t>”</w:t>
      </w:r>
    </w:p>
    <w:p w14:paraId="021E41A9" w14:textId="77777777" w:rsidR="0074406B" w:rsidRDefault="0074406B" w:rsidP="00125D65">
      <w:pPr>
        <w:spacing w:after="0" w:line="240" w:lineRule="auto"/>
        <w:jc w:val="center"/>
        <w:rPr>
          <w:rFonts w:ascii="Bookman Old Style" w:hAnsi="Bookman Old Style" w:cs="Aptos"/>
          <w:b/>
          <w:color w:val="0070C0"/>
          <w:kern w:val="0"/>
          <w14:ligatures w14:val="none"/>
        </w:rPr>
      </w:pPr>
    </w:p>
    <w:p w14:paraId="28C0AEA4" w14:textId="25F06A79" w:rsidR="00EF7EE2" w:rsidRPr="004B63EB" w:rsidRDefault="000C49B3" w:rsidP="00FC5A4C">
      <w:pPr>
        <w:spacing w:after="0" w:line="240" w:lineRule="auto"/>
        <w:jc w:val="both"/>
        <w:rPr>
          <w:rFonts w:ascii="Bookman Old Style" w:hAnsi="Bookman Old Style" w:cs="Aptos"/>
          <w:kern w:val="0"/>
          <w14:ligatures w14:val="none"/>
        </w:rPr>
      </w:pPr>
      <w:r>
        <w:rPr>
          <w:rFonts w:ascii="Bookman Old Style" w:hAnsi="Bookman Old Style" w:cs="Aptos"/>
          <w:kern w:val="0"/>
          <w14:ligatures w14:val="none"/>
        </w:rPr>
        <w:t xml:space="preserve">La </w:t>
      </w:r>
      <w:r w:rsidR="00D6473E">
        <w:rPr>
          <w:rFonts w:ascii="Bookman Old Style" w:hAnsi="Bookman Old Style" w:cs="Aptos"/>
          <w:kern w:val="0"/>
          <w14:ligatures w14:val="none"/>
        </w:rPr>
        <w:t>l</w:t>
      </w:r>
      <w:r>
        <w:rPr>
          <w:rFonts w:ascii="Bookman Old Style" w:hAnsi="Bookman Old Style" w:cs="Aptos"/>
          <w:kern w:val="0"/>
          <w14:ligatures w14:val="none"/>
        </w:rPr>
        <w:t xml:space="preserve">egge di conversione del </w:t>
      </w:r>
      <w:r w:rsidR="00EF7EE2" w:rsidRPr="00125D65">
        <w:rPr>
          <w:rFonts w:ascii="Bookman Old Style" w:hAnsi="Bookman Old Style" w:cs="Aptos"/>
          <w:kern w:val="0"/>
          <w14:ligatures w14:val="none"/>
        </w:rPr>
        <w:t xml:space="preserve">decreto-legge </w:t>
      </w:r>
      <w:r w:rsidR="007E265D">
        <w:rPr>
          <w:rFonts w:ascii="Bookman Old Style" w:hAnsi="Bookman Old Style" w:cs="Aptos"/>
          <w:kern w:val="0"/>
          <w14:ligatures w14:val="none"/>
        </w:rPr>
        <w:t xml:space="preserve">14 marzo 2025, n. 25, </w:t>
      </w:r>
      <w:r w:rsidR="00EF7EE2" w:rsidRPr="00590F55">
        <w:rPr>
          <w:rFonts w:ascii="Bookman Old Style" w:hAnsi="Bookman Old Style" w:cs="Aptos"/>
          <w:kern w:val="0"/>
          <w14:ligatures w14:val="none"/>
        </w:rPr>
        <w:t>recante “</w:t>
      </w:r>
      <w:r w:rsidR="00EF7EE2">
        <w:rPr>
          <w:rFonts w:ascii="Bookman Old Style" w:hAnsi="Bookman Old Style" w:cs="Aptos"/>
          <w:kern w:val="0"/>
          <w14:ligatures w14:val="none"/>
        </w:rPr>
        <w:t>D</w:t>
      </w:r>
      <w:r w:rsidR="00EF7EE2" w:rsidRPr="00590F55">
        <w:rPr>
          <w:rFonts w:ascii="Bookman Old Style" w:hAnsi="Bookman Old Style" w:cs="Aptos"/>
          <w:kern w:val="0"/>
          <w14:ligatures w14:val="none"/>
        </w:rPr>
        <w:t>isposizioni urgenti in materia di reclutamento delle pubbliche amministrazioni”</w:t>
      </w:r>
      <w:r w:rsidR="00EF7EE2">
        <w:rPr>
          <w:rFonts w:ascii="Bookman Old Style" w:hAnsi="Bookman Old Style" w:cs="Aptos"/>
          <w:kern w:val="0"/>
          <w14:ligatures w14:val="none"/>
        </w:rPr>
        <w:t xml:space="preserve">, </w:t>
      </w:r>
      <w:r w:rsidR="00EF7EE2" w:rsidRPr="00856A21">
        <w:rPr>
          <w:rFonts w:ascii="Bookman Old Style" w:hAnsi="Bookman Old Style" w:cs="Aptos"/>
          <w:kern w:val="0"/>
          <w14:ligatures w14:val="none"/>
        </w:rPr>
        <w:t xml:space="preserve">cd </w:t>
      </w:r>
      <w:proofErr w:type="spellStart"/>
      <w:r w:rsidR="00EF7EE2" w:rsidRPr="00856A21">
        <w:rPr>
          <w:rFonts w:ascii="Bookman Old Style" w:hAnsi="Bookman Old Style" w:cs="Aptos"/>
          <w:kern w:val="0"/>
          <w14:ligatures w14:val="none"/>
        </w:rPr>
        <w:t>d.</w:t>
      </w:r>
      <w:r w:rsidR="00EF7EE2">
        <w:rPr>
          <w:rFonts w:ascii="Bookman Old Style" w:hAnsi="Bookman Old Style" w:cs="Aptos"/>
          <w:kern w:val="0"/>
          <w14:ligatures w14:val="none"/>
        </w:rPr>
        <w:t>l</w:t>
      </w:r>
      <w:r w:rsidR="00EF7EE2" w:rsidRPr="00856A21">
        <w:rPr>
          <w:rFonts w:ascii="Bookman Old Style" w:hAnsi="Bookman Old Style" w:cs="Aptos"/>
          <w:kern w:val="0"/>
          <w14:ligatures w14:val="none"/>
        </w:rPr>
        <w:t>.</w:t>
      </w:r>
      <w:proofErr w:type="spellEnd"/>
      <w:r w:rsidR="00EF7EE2" w:rsidRPr="00856A21">
        <w:rPr>
          <w:rFonts w:ascii="Bookman Old Style" w:hAnsi="Bookman Old Style" w:cs="Aptos"/>
          <w:kern w:val="0"/>
          <w14:ligatures w14:val="none"/>
        </w:rPr>
        <w:t xml:space="preserve"> PA</w:t>
      </w:r>
      <w:r w:rsidR="00EF7EE2">
        <w:rPr>
          <w:rFonts w:ascii="Bookman Old Style" w:hAnsi="Bookman Old Style" w:cs="Aptos"/>
          <w:kern w:val="0"/>
          <w14:ligatures w14:val="none"/>
        </w:rPr>
        <w:t>, è stat</w:t>
      </w:r>
      <w:r w:rsidR="00F004D9">
        <w:rPr>
          <w:rFonts w:ascii="Bookman Old Style" w:hAnsi="Bookman Old Style" w:cs="Aptos"/>
          <w:kern w:val="0"/>
          <w14:ligatures w14:val="none"/>
        </w:rPr>
        <w:t>a</w:t>
      </w:r>
      <w:r w:rsidR="00EF7EE2">
        <w:rPr>
          <w:rFonts w:ascii="Bookman Old Style" w:hAnsi="Bookman Old Style" w:cs="Aptos"/>
          <w:kern w:val="0"/>
          <w14:ligatures w14:val="none"/>
        </w:rPr>
        <w:t xml:space="preserve"> </w:t>
      </w:r>
      <w:r w:rsidR="007A0B36">
        <w:rPr>
          <w:rFonts w:ascii="Bookman Old Style" w:hAnsi="Bookman Old Style" w:cs="Aptos"/>
          <w:kern w:val="0"/>
          <w14:ligatures w14:val="none"/>
        </w:rPr>
        <w:t>pubblicata sul</w:t>
      </w:r>
      <w:r w:rsidR="00C005C1">
        <w:rPr>
          <w:rFonts w:ascii="Bookman Old Style" w:hAnsi="Bookman Old Style" w:cs="Aptos"/>
          <w:kern w:val="0"/>
          <w14:ligatures w14:val="none"/>
        </w:rPr>
        <w:t xml:space="preserve"> Sup</w:t>
      </w:r>
      <w:r w:rsidR="00A33A54">
        <w:rPr>
          <w:rFonts w:ascii="Bookman Old Style" w:hAnsi="Bookman Old Style" w:cs="Aptos"/>
          <w:kern w:val="0"/>
          <w14:ligatures w14:val="none"/>
        </w:rPr>
        <w:t>p</w:t>
      </w:r>
      <w:r w:rsidR="00C005C1">
        <w:rPr>
          <w:rFonts w:ascii="Bookman Old Style" w:hAnsi="Bookman Old Style" w:cs="Aptos"/>
          <w:kern w:val="0"/>
          <w14:ligatures w14:val="none"/>
        </w:rPr>
        <w:t>lemento Ordinario 16/L della Gazzetta Uffi</w:t>
      </w:r>
      <w:r w:rsidR="00A33A54">
        <w:rPr>
          <w:rFonts w:ascii="Bookman Old Style" w:hAnsi="Bookman Old Style" w:cs="Aptos"/>
          <w:kern w:val="0"/>
          <w14:ligatures w14:val="none"/>
        </w:rPr>
        <w:t>ciale n. 109 del</w:t>
      </w:r>
      <w:r w:rsidR="007A0B36">
        <w:rPr>
          <w:rFonts w:ascii="Bookman Old Style" w:hAnsi="Bookman Old Style" w:cs="Aptos"/>
          <w:kern w:val="0"/>
          <w14:ligatures w14:val="none"/>
        </w:rPr>
        <w:t xml:space="preserve"> 13 maggio 2025</w:t>
      </w:r>
      <w:r w:rsidR="00FC5A4C">
        <w:rPr>
          <w:rFonts w:ascii="Bookman Old Style" w:hAnsi="Bookman Old Style" w:cs="Aptos"/>
          <w:kern w:val="0"/>
          <w14:ligatures w14:val="none"/>
        </w:rPr>
        <w:t xml:space="preserve">. </w:t>
      </w:r>
      <w:r w:rsidR="00EF7EE2" w:rsidRPr="004B63EB">
        <w:rPr>
          <w:rFonts w:ascii="Bookman Old Style" w:hAnsi="Bookman Old Style" w:cs="Aptos"/>
          <w:kern w:val="0"/>
          <w14:ligatures w14:val="none"/>
        </w:rPr>
        <w:t>Il testo del provvedimento contiene una pluralità di misure in materia di personale</w:t>
      </w:r>
      <w:r w:rsidR="00EF7EE2">
        <w:rPr>
          <w:rFonts w:ascii="Bookman Old Style" w:hAnsi="Bookman Old Style" w:cs="Aptos"/>
          <w:kern w:val="0"/>
          <w14:ligatures w14:val="none"/>
        </w:rPr>
        <w:t>,</w:t>
      </w:r>
      <w:r w:rsidR="00EF7EE2" w:rsidRPr="004B63EB">
        <w:rPr>
          <w:rFonts w:ascii="Bookman Old Style" w:hAnsi="Bookman Old Style" w:cs="Aptos"/>
          <w:kern w:val="0"/>
          <w14:ligatures w14:val="none"/>
        </w:rPr>
        <w:t xml:space="preserve"> </w:t>
      </w:r>
      <w:r w:rsidR="00EF7EE2">
        <w:rPr>
          <w:rFonts w:ascii="Bookman Old Style" w:hAnsi="Bookman Old Style" w:cs="Aptos"/>
          <w:kern w:val="0"/>
          <w14:ligatures w14:val="none"/>
        </w:rPr>
        <w:t>rilevanti</w:t>
      </w:r>
      <w:r w:rsidR="00EF7EE2" w:rsidRPr="004B63EB">
        <w:rPr>
          <w:rFonts w:ascii="Bookman Old Style" w:hAnsi="Bookman Old Style" w:cs="Aptos"/>
          <w:kern w:val="0"/>
          <w14:ligatures w14:val="none"/>
        </w:rPr>
        <w:t xml:space="preserve"> per Comuni e Città metropolitane, alcune delle quali recepiscono specifiche richieste dell’ANCI.</w:t>
      </w:r>
      <w:r w:rsidR="00EF7EE2">
        <w:rPr>
          <w:rFonts w:ascii="Bookman Old Style" w:hAnsi="Bookman Old Style" w:cs="Aptos"/>
          <w:kern w:val="0"/>
          <w14:ligatures w14:val="none"/>
        </w:rPr>
        <w:t xml:space="preserve"> </w:t>
      </w:r>
      <w:r w:rsidR="00EF7EE2" w:rsidRPr="004B63EB">
        <w:rPr>
          <w:rFonts w:ascii="Bookman Old Style" w:hAnsi="Bookman Old Style" w:cs="Aptos"/>
          <w:kern w:val="0"/>
          <w14:ligatures w14:val="none"/>
        </w:rPr>
        <w:t>Si riporta di seguito</w:t>
      </w:r>
      <w:r w:rsidR="00EF7EE2">
        <w:rPr>
          <w:rFonts w:ascii="Bookman Old Style" w:hAnsi="Bookman Old Style" w:cs="Aptos"/>
          <w:kern w:val="0"/>
          <w14:ligatures w14:val="none"/>
        </w:rPr>
        <w:t xml:space="preserve"> la nota sintetica del</w:t>
      </w:r>
      <w:r w:rsidR="00EF7EE2" w:rsidRPr="004B63EB">
        <w:rPr>
          <w:rFonts w:ascii="Bookman Old Style" w:hAnsi="Bookman Old Style" w:cs="Aptos"/>
          <w:kern w:val="0"/>
          <w14:ligatures w14:val="none"/>
        </w:rPr>
        <w:t xml:space="preserve">le disposizioni </w:t>
      </w:r>
      <w:r w:rsidR="00EF7EE2">
        <w:rPr>
          <w:rFonts w:ascii="Bookman Old Style" w:hAnsi="Bookman Old Style" w:cs="Aptos"/>
          <w:kern w:val="0"/>
          <w14:ligatures w14:val="none"/>
        </w:rPr>
        <w:t>di interesse come integrate d</w:t>
      </w:r>
      <w:r w:rsidR="00FC5A4C">
        <w:rPr>
          <w:rFonts w:ascii="Bookman Old Style" w:hAnsi="Bookman Old Style" w:cs="Aptos"/>
          <w:kern w:val="0"/>
          <w14:ligatures w14:val="none"/>
        </w:rPr>
        <w:t>urante l’esame parlamentare</w:t>
      </w:r>
      <w:r w:rsidR="00EF7EE2">
        <w:rPr>
          <w:rFonts w:ascii="Bookman Old Style" w:hAnsi="Bookman Old Style" w:cs="Aptos"/>
          <w:kern w:val="0"/>
          <w14:ligatures w14:val="none"/>
        </w:rPr>
        <w:t>.</w:t>
      </w:r>
    </w:p>
    <w:p w14:paraId="4C5EBA6F" w14:textId="77777777" w:rsidR="00D373B9" w:rsidRPr="004B63EB" w:rsidRDefault="00D373B9" w:rsidP="00006C06">
      <w:pPr>
        <w:jc w:val="both"/>
        <w:rPr>
          <w:rFonts w:ascii="Bookman Old Style" w:hAnsi="Bookman Old Style" w:cs="Aptos"/>
          <w:kern w:val="0"/>
          <w14:ligatures w14:val="none"/>
        </w:rPr>
      </w:pPr>
    </w:p>
    <w:p w14:paraId="1EDC5CAC" w14:textId="52B144A3" w:rsidR="0034708F" w:rsidRPr="007A56CF" w:rsidRDefault="0034708F" w:rsidP="00006C06">
      <w:pPr>
        <w:jc w:val="both"/>
        <w:rPr>
          <w:rFonts w:ascii="Bookman Old Style" w:hAnsi="Bookman Old Style" w:cs="Aptos"/>
          <w:b/>
          <w:color w:val="0070C0"/>
          <w:kern w:val="0"/>
          <w14:ligatures w14:val="none"/>
        </w:rPr>
      </w:pPr>
      <w:r w:rsidRPr="007A56CF">
        <w:rPr>
          <w:rFonts w:ascii="Bookman Old Style" w:hAnsi="Bookman Old Style" w:cs="Aptos"/>
          <w:b/>
          <w:color w:val="0070C0"/>
          <w:kern w:val="0"/>
          <w14:ligatures w14:val="none"/>
        </w:rPr>
        <w:t xml:space="preserve">Misure urgenti per l’attrattività della pubblica amministrazione per i giovani </w:t>
      </w:r>
      <w:r w:rsidR="007A56CF" w:rsidRPr="007A56CF">
        <w:rPr>
          <w:rFonts w:ascii="Bookman Old Style" w:hAnsi="Bookman Old Style" w:cs="Aptos"/>
          <w:b/>
          <w:color w:val="0070C0"/>
          <w:kern w:val="0"/>
          <w14:ligatures w14:val="none"/>
        </w:rPr>
        <w:t>(Art. 1)</w:t>
      </w:r>
    </w:p>
    <w:p w14:paraId="5C0DA9E3" w14:textId="06DBF42A" w:rsidR="005C72B1" w:rsidRPr="007A56CF" w:rsidRDefault="004847C7" w:rsidP="007A56CF">
      <w:pPr>
        <w:pStyle w:val="Paragrafoelenco"/>
        <w:numPr>
          <w:ilvl w:val="0"/>
          <w:numId w:val="1"/>
        </w:numPr>
        <w:jc w:val="both"/>
        <w:rPr>
          <w:rFonts w:ascii="Bookman Old Style" w:hAnsi="Bookman Old Style"/>
          <w:b/>
          <w:bCs/>
        </w:rPr>
      </w:pPr>
      <w:r w:rsidRPr="007A56CF">
        <w:rPr>
          <w:rFonts w:ascii="Bookman Old Style" w:hAnsi="Bookman Old Style"/>
          <w:b/>
          <w:bCs/>
        </w:rPr>
        <w:t>Reclutamento di giovani diplomati ITS in Area Funzionari</w:t>
      </w:r>
    </w:p>
    <w:p w14:paraId="1A75FB23" w14:textId="18006ED3" w:rsidR="009F6221" w:rsidRPr="007A56CF" w:rsidRDefault="009F6221" w:rsidP="00006C06">
      <w:pPr>
        <w:jc w:val="both"/>
        <w:rPr>
          <w:rFonts w:ascii="Bookman Old Style" w:hAnsi="Bookman Old Style"/>
        </w:rPr>
      </w:pPr>
      <w:r w:rsidRPr="007A56CF">
        <w:rPr>
          <w:rFonts w:ascii="Bookman Old Style" w:hAnsi="Bookman Old Style"/>
        </w:rPr>
        <w:t xml:space="preserve">La norma prevede un’importante integrazione della disciplina </w:t>
      </w:r>
      <w:r w:rsidR="00586B52" w:rsidRPr="007A56CF">
        <w:rPr>
          <w:rFonts w:ascii="Bookman Old Style" w:hAnsi="Bookman Old Style"/>
        </w:rPr>
        <w:t>introdotta</w:t>
      </w:r>
      <w:r w:rsidR="00821C02">
        <w:rPr>
          <w:rFonts w:ascii="Bookman Old Style" w:hAnsi="Bookman Old Style"/>
        </w:rPr>
        <w:t xml:space="preserve"> </w:t>
      </w:r>
      <w:r w:rsidR="00821C02" w:rsidRPr="007A56CF">
        <w:rPr>
          <w:rFonts w:ascii="Bookman Old Style" w:hAnsi="Bookman Old Style"/>
        </w:rPr>
        <w:t>dall’art. 3-ter, del D.L. n. 44/2023</w:t>
      </w:r>
      <w:r w:rsidR="0004133B">
        <w:rPr>
          <w:rFonts w:ascii="Bookman Old Style" w:hAnsi="Bookman Old Style"/>
        </w:rPr>
        <w:t>,</w:t>
      </w:r>
      <w:r w:rsidR="00821C02">
        <w:rPr>
          <w:rFonts w:ascii="Bookman Old Style" w:hAnsi="Bookman Old Style"/>
        </w:rPr>
        <w:t xml:space="preserve"> come convertito con modificazioni</w:t>
      </w:r>
      <w:r w:rsidR="0004133B" w:rsidRPr="0004133B">
        <w:t xml:space="preserve"> </w:t>
      </w:r>
      <w:r w:rsidR="0004133B" w:rsidRPr="0004133B">
        <w:rPr>
          <w:rFonts w:ascii="Bookman Old Style" w:hAnsi="Bookman Old Style"/>
        </w:rPr>
        <w:t>dalla L. 21 giugno 2023, n. 74</w:t>
      </w:r>
      <w:r w:rsidR="0004133B">
        <w:rPr>
          <w:rFonts w:ascii="Bookman Old Style" w:hAnsi="Bookman Old Style"/>
        </w:rPr>
        <w:t>,</w:t>
      </w:r>
      <w:r w:rsidR="00586B52" w:rsidRPr="007A56CF">
        <w:rPr>
          <w:rFonts w:ascii="Bookman Old Style" w:hAnsi="Bookman Old Style"/>
        </w:rPr>
        <w:t xml:space="preserve"> </w:t>
      </w:r>
      <w:r w:rsidR="00BB54C0">
        <w:rPr>
          <w:rFonts w:ascii="Bookman Old Style" w:hAnsi="Bookman Old Style"/>
        </w:rPr>
        <w:t xml:space="preserve">disciplina richiesta dall’ANCI </w:t>
      </w:r>
      <w:r w:rsidR="00D612D9">
        <w:rPr>
          <w:rFonts w:ascii="Bookman Old Style" w:hAnsi="Bookman Old Style"/>
        </w:rPr>
        <w:t>per</w:t>
      </w:r>
      <w:r w:rsidR="00586B52" w:rsidRPr="007A56CF">
        <w:rPr>
          <w:rFonts w:ascii="Bookman Old Style" w:hAnsi="Bookman Old Style"/>
        </w:rPr>
        <w:t xml:space="preserve"> potenziare gli </w:t>
      </w:r>
      <w:r w:rsidR="00265E1C" w:rsidRPr="007A56CF">
        <w:rPr>
          <w:rFonts w:ascii="Bookman Old Style" w:hAnsi="Bookman Old Style"/>
        </w:rPr>
        <w:t>strumenti</w:t>
      </w:r>
      <w:r w:rsidR="00586B52" w:rsidRPr="007A56CF">
        <w:rPr>
          <w:rFonts w:ascii="Bookman Old Style" w:hAnsi="Bookman Old Style"/>
        </w:rPr>
        <w:t xml:space="preserve"> per at</w:t>
      </w:r>
      <w:r w:rsidR="00265E1C" w:rsidRPr="007A56CF">
        <w:rPr>
          <w:rFonts w:ascii="Bookman Old Style" w:hAnsi="Bookman Old Style"/>
        </w:rPr>
        <w:t>tra</w:t>
      </w:r>
      <w:r w:rsidR="00586B52" w:rsidRPr="007A56CF">
        <w:rPr>
          <w:rFonts w:ascii="Bookman Old Style" w:hAnsi="Bookman Old Style"/>
        </w:rPr>
        <w:t xml:space="preserve">rre giovani </w:t>
      </w:r>
      <w:r w:rsidR="004101A2">
        <w:rPr>
          <w:rFonts w:ascii="Bookman Old Style" w:hAnsi="Bookman Old Style"/>
        </w:rPr>
        <w:t xml:space="preserve">talenti </w:t>
      </w:r>
      <w:r w:rsidR="00586B52" w:rsidRPr="007A56CF">
        <w:rPr>
          <w:rFonts w:ascii="Bookman Old Style" w:hAnsi="Bookman Old Style"/>
        </w:rPr>
        <w:t xml:space="preserve">nella </w:t>
      </w:r>
      <w:r w:rsidR="009471D0">
        <w:rPr>
          <w:rFonts w:ascii="Bookman Old Style" w:hAnsi="Bookman Old Style"/>
        </w:rPr>
        <w:t>P</w:t>
      </w:r>
      <w:r w:rsidR="00586B52" w:rsidRPr="007A56CF">
        <w:rPr>
          <w:rFonts w:ascii="Bookman Old Style" w:hAnsi="Bookman Old Style"/>
        </w:rPr>
        <w:t xml:space="preserve">ubblica </w:t>
      </w:r>
      <w:r w:rsidR="009471D0">
        <w:rPr>
          <w:rFonts w:ascii="Bookman Old Style" w:hAnsi="Bookman Old Style"/>
        </w:rPr>
        <w:t>A</w:t>
      </w:r>
      <w:r w:rsidR="00586B52" w:rsidRPr="007A56CF">
        <w:rPr>
          <w:rFonts w:ascii="Bookman Old Style" w:hAnsi="Bookman Old Style"/>
        </w:rPr>
        <w:t>mministrazione locale</w:t>
      </w:r>
      <w:r w:rsidR="00B50AC4">
        <w:rPr>
          <w:rFonts w:ascii="Bookman Old Style" w:hAnsi="Bookman Old Style"/>
        </w:rPr>
        <w:t>.</w:t>
      </w:r>
    </w:p>
    <w:p w14:paraId="492B86A8" w14:textId="28539C01" w:rsidR="000D0767" w:rsidRPr="007A56CF" w:rsidRDefault="00652045" w:rsidP="00006C06">
      <w:pPr>
        <w:jc w:val="both"/>
        <w:rPr>
          <w:rFonts w:ascii="Bookman Old Style" w:hAnsi="Bookman Old Style"/>
        </w:rPr>
      </w:pPr>
      <w:r w:rsidRPr="007A56CF">
        <w:rPr>
          <w:rFonts w:ascii="Bookman Old Style" w:hAnsi="Bookman Old Style"/>
        </w:rPr>
        <w:t xml:space="preserve">In particolare, </w:t>
      </w:r>
      <w:r w:rsidR="00F77CCA" w:rsidRPr="007A56CF">
        <w:rPr>
          <w:rFonts w:ascii="Bookman Old Style" w:hAnsi="Bookman Old Style"/>
        </w:rPr>
        <w:t xml:space="preserve">con le nuove previsioni i </w:t>
      </w:r>
      <w:r w:rsidR="007A56CF" w:rsidRPr="007A56CF">
        <w:rPr>
          <w:rFonts w:ascii="Bookman Old Style" w:hAnsi="Bookman Old Style"/>
        </w:rPr>
        <w:t>C</w:t>
      </w:r>
      <w:r w:rsidR="00F77CCA" w:rsidRPr="007A56CF">
        <w:rPr>
          <w:rFonts w:ascii="Bookman Old Style" w:hAnsi="Bookman Old Style"/>
        </w:rPr>
        <w:t xml:space="preserve">omuni e le </w:t>
      </w:r>
      <w:r w:rsidR="006B1088">
        <w:rPr>
          <w:rFonts w:ascii="Bookman Old Style" w:hAnsi="Bookman Old Style"/>
        </w:rPr>
        <w:t>C</w:t>
      </w:r>
      <w:r w:rsidR="00F77CCA" w:rsidRPr="007A56CF">
        <w:rPr>
          <w:rFonts w:ascii="Bookman Old Style" w:hAnsi="Bookman Old Style"/>
        </w:rPr>
        <w:t>ittà metropolitane</w:t>
      </w:r>
      <w:r w:rsidR="000E48F1">
        <w:rPr>
          <w:rFonts w:ascii="Bookman Old Style" w:hAnsi="Bookman Old Style"/>
        </w:rPr>
        <w:t xml:space="preserve">, le Regioni e le Province autonome di Trento e Bolzano </w:t>
      </w:r>
      <w:r w:rsidR="00972DAD" w:rsidRPr="007A56CF">
        <w:rPr>
          <w:rFonts w:ascii="Bookman Old Style" w:hAnsi="Bookman Old Style"/>
        </w:rPr>
        <w:t xml:space="preserve">potranno destinare </w:t>
      </w:r>
      <w:r w:rsidR="00F94934" w:rsidRPr="007A56CF">
        <w:rPr>
          <w:rFonts w:ascii="Bookman Old Style" w:hAnsi="Bookman Old Style"/>
        </w:rPr>
        <w:t>il</w:t>
      </w:r>
      <w:r w:rsidR="009D02DD">
        <w:rPr>
          <w:rFonts w:ascii="Bookman Old Style" w:hAnsi="Bookman Old Style"/>
        </w:rPr>
        <w:t xml:space="preserve"> </w:t>
      </w:r>
      <w:r w:rsidR="009D02DD" w:rsidRPr="009D02DD">
        <w:rPr>
          <w:rFonts w:ascii="Bookman Old Style" w:hAnsi="Bookman Old Style"/>
          <w:b/>
          <w:bCs/>
        </w:rPr>
        <w:t>15 per cento</w:t>
      </w:r>
      <w:r w:rsidR="009D02DD" w:rsidRPr="009D02DD">
        <w:rPr>
          <w:rFonts w:ascii="Bookman Old Style" w:hAnsi="Bookman Old Style"/>
        </w:rPr>
        <w:t xml:space="preserve"> (come disposto </w:t>
      </w:r>
      <w:r w:rsidR="007977B2">
        <w:rPr>
          <w:rFonts w:ascii="Bookman Old Style" w:hAnsi="Bookman Old Style"/>
        </w:rPr>
        <w:t>durante l’esame parlamentare</w:t>
      </w:r>
      <w:r w:rsidR="009D02DD" w:rsidRPr="009D02DD">
        <w:rPr>
          <w:rFonts w:ascii="Bookman Old Style" w:hAnsi="Bookman Old Style"/>
        </w:rPr>
        <w:t xml:space="preserve"> in luogo del 10 per cento </w:t>
      </w:r>
      <w:r w:rsidR="007977B2">
        <w:rPr>
          <w:rFonts w:ascii="Bookman Old Style" w:hAnsi="Bookman Old Style"/>
        </w:rPr>
        <w:t>inizialmente previsto</w:t>
      </w:r>
      <w:r w:rsidR="006C6913">
        <w:rPr>
          <w:rFonts w:ascii="Bookman Old Style" w:hAnsi="Bookman Old Style"/>
        </w:rPr>
        <w:t xml:space="preserve"> dal decreto legge</w:t>
      </w:r>
      <w:r w:rsidR="009D02DD" w:rsidRPr="009D02DD">
        <w:rPr>
          <w:rFonts w:ascii="Bookman Old Style" w:hAnsi="Bookman Old Style"/>
        </w:rPr>
        <w:t xml:space="preserve">) </w:t>
      </w:r>
      <w:r w:rsidR="00F94934" w:rsidRPr="007A56CF">
        <w:rPr>
          <w:rFonts w:ascii="Bookman Old Style" w:hAnsi="Bookman Old Style"/>
        </w:rPr>
        <w:t xml:space="preserve">delle proprie capacità assunzionali </w:t>
      </w:r>
      <w:r w:rsidR="00B2060F" w:rsidRPr="007A56CF">
        <w:rPr>
          <w:rFonts w:ascii="Bookman Old Style" w:hAnsi="Bookman Old Style"/>
        </w:rPr>
        <w:t>al reclutamento di soggetti in possesso del diploma di specializzazione per le tecnologie applicate, ovvero del diploma di specializzazione superiore per le tecnologie applicate rilasciato dagli Istituti tecnologici superiori (ITS Academy) di cui all’articolo 5, comma 2, della legge n. 99/2022, nonché dei diplomi di cui al DPCM 25 gennaio 2008, ove strettamente conferente ai profili tecnici banditi. Tale percentuale va quindi ad aggiungersi a quella (20</w:t>
      </w:r>
      <w:r w:rsidR="0054644B" w:rsidRPr="007A56CF">
        <w:rPr>
          <w:rFonts w:ascii="Bookman Old Style" w:hAnsi="Bookman Old Style"/>
        </w:rPr>
        <w:t>%) già destinabile all’assunzione di giovani con contratti di apprendistato</w:t>
      </w:r>
      <w:r w:rsidR="00D44659" w:rsidRPr="007A56CF">
        <w:rPr>
          <w:rFonts w:ascii="Bookman Old Style" w:hAnsi="Bookman Old Style"/>
        </w:rPr>
        <w:t xml:space="preserve">, ai sensi del primo comma, e di formazione lavoro (ulteriore 20%), ai sensi del secondo comma </w:t>
      </w:r>
      <w:r w:rsidR="00FC5B07" w:rsidRPr="007A56CF">
        <w:rPr>
          <w:rFonts w:ascii="Bookman Old Style" w:hAnsi="Bookman Old Style"/>
        </w:rPr>
        <w:t>del richiamato art. 3-ter</w:t>
      </w:r>
      <w:r w:rsidR="0054644B" w:rsidRPr="007A56CF">
        <w:rPr>
          <w:rFonts w:ascii="Bookman Old Style" w:hAnsi="Bookman Old Style"/>
        </w:rPr>
        <w:t>.</w:t>
      </w:r>
      <w:r w:rsidR="000D0767" w:rsidRPr="007A56CF">
        <w:rPr>
          <w:rFonts w:ascii="Bookman Old Style" w:hAnsi="Bookman Old Style"/>
        </w:rPr>
        <w:t xml:space="preserve"> </w:t>
      </w:r>
    </w:p>
    <w:p w14:paraId="1C1E8B90" w14:textId="4BB1274D" w:rsidR="00652045" w:rsidRPr="007A56CF" w:rsidRDefault="000D0767" w:rsidP="00006C06">
      <w:pPr>
        <w:jc w:val="both"/>
        <w:rPr>
          <w:rFonts w:ascii="Bookman Old Style" w:hAnsi="Bookman Old Style"/>
        </w:rPr>
      </w:pPr>
      <w:r w:rsidRPr="007A56CF">
        <w:rPr>
          <w:rFonts w:ascii="Bookman Old Style" w:hAnsi="Bookman Old Style"/>
        </w:rPr>
        <w:t>I contratti di lavoro così stipulati</w:t>
      </w:r>
      <w:r w:rsidR="003968A2" w:rsidRPr="007A56CF">
        <w:rPr>
          <w:rFonts w:ascii="Bookman Old Style" w:hAnsi="Bookman Old Style"/>
        </w:rPr>
        <w:t xml:space="preserve"> a tempo determinato</w:t>
      </w:r>
      <w:r w:rsidR="007A1D77" w:rsidRPr="007A56CF">
        <w:rPr>
          <w:rFonts w:ascii="Bookman Old Style" w:hAnsi="Bookman Old Style"/>
        </w:rPr>
        <w:t xml:space="preserve">, con inquadramento in </w:t>
      </w:r>
      <w:r w:rsidR="006B1088">
        <w:rPr>
          <w:rFonts w:ascii="Bookman Old Style" w:hAnsi="Bookman Old Style"/>
        </w:rPr>
        <w:t>A</w:t>
      </w:r>
      <w:r w:rsidR="007A1D77" w:rsidRPr="007A56CF">
        <w:rPr>
          <w:rFonts w:ascii="Bookman Old Style" w:hAnsi="Bookman Old Style"/>
        </w:rPr>
        <w:t>rea dei funzionari</w:t>
      </w:r>
      <w:r w:rsidR="00EF4FD0" w:rsidRPr="007A56CF">
        <w:rPr>
          <w:rFonts w:ascii="Bookman Old Style" w:hAnsi="Bookman Old Style"/>
        </w:rPr>
        <w:t>,</w:t>
      </w:r>
      <w:r w:rsidR="003968A2" w:rsidRPr="007A56CF">
        <w:rPr>
          <w:rFonts w:ascii="Bookman Old Style" w:hAnsi="Bookman Old Style"/>
        </w:rPr>
        <w:t xml:space="preserve"> </w:t>
      </w:r>
      <w:r w:rsidR="00EF4FD0" w:rsidRPr="006B1088">
        <w:rPr>
          <w:rFonts w:ascii="Bookman Old Style" w:hAnsi="Bookman Old Style"/>
          <w:b/>
          <w:bCs/>
          <w:u w:val="single"/>
        </w:rPr>
        <w:t>sono</w:t>
      </w:r>
      <w:r w:rsidR="003968A2" w:rsidRPr="006B1088">
        <w:rPr>
          <w:rFonts w:ascii="Bookman Old Style" w:hAnsi="Bookman Old Style"/>
          <w:b/>
          <w:bCs/>
          <w:u w:val="single"/>
        </w:rPr>
        <w:t xml:space="preserve"> trasformati a</w:t>
      </w:r>
      <w:r w:rsidRPr="006B1088">
        <w:rPr>
          <w:rFonts w:ascii="Bookman Old Style" w:hAnsi="Bookman Old Style"/>
          <w:b/>
          <w:bCs/>
          <w:u w:val="single"/>
        </w:rPr>
        <w:t>lla scadenza</w:t>
      </w:r>
      <w:r w:rsidRPr="007A56CF">
        <w:rPr>
          <w:rFonts w:ascii="Bookman Old Style" w:hAnsi="Bookman Old Style"/>
        </w:rPr>
        <w:t xml:space="preserve">, in presenza </w:t>
      </w:r>
      <w:r w:rsidR="003968A2" w:rsidRPr="007A56CF">
        <w:rPr>
          <w:rFonts w:ascii="Bookman Old Style" w:hAnsi="Bookman Old Style"/>
        </w:rPr>
        <w:t>di tutti i</w:t>
      </w:r>
      <w:r w:rsidRPr="007A56CF">
        <w:rPr>
          <w:rFonts w:ascii="Bookman Old Style" w:hAnsi="Bookman Old Style"/>
        </w:rPr>
        <w:t xml:space="preserve"> requisiti per l'accesso al pubblico impiego, </w:t>
      </w:r>
      <w:r w:rsidR="003968A2" w:rsidRPr="007A56CF">
        <w:rPr>
          <w:rFonts w:ascii="Bookman Old Style" w:hAnsi="Bookman Old Style"/>
        </w:rPr>
        <w:t>compreso il</w:t>
      </w:r>
      <w:r w:rsidRPr="007A56CF">
        <w:rPr>
          <w:rFonts w:ascii="Bookman Old Style" w:hAnsi="Bookman Old Style"/>
        </w:rPr>
        <w:t xml:space="preserve"> possesso del titolo di studio</w:t>
      </w:r>
      <w:r w:rsidR="00715997" w:rsidRPr="007A56CF">
        <w:rPr>
          <w:rFonts w:ascii="Bookman Old Style" w:hAnsi="Bookman Old Style"/>
        </w:rPr>
        <w:t xml:space="preserve"> della laurea</w:t>
      </w:r>
      <w:r w:rsidRPr="007A56CF">
        <w:rPr>
          <w:rFonts w:ascii="Bookman Old Style" w:hAnsi="Bookman Old Style"/>
        </w:rPr>
        <w:t xml:space="preserve">, e della valutazione positiva del servizio prestato, </w:t>
      </w:r>
      <w:r w:rsidR="00EF4FD0" w:rsidRPr="006B1088">
        <w:rPr>
          <w:rFonts w:ascii="Bookman Old Style" w:hAnsi="Bookman Old Style"/>
          <w:b/>
          <w:bCs/>
          <w:u w:val="single"/>
        </w:rPr>
        <w:t>i</w:t>
      </w:r>
      <w:r w:rsidRPr="006B1088">
        <w:rPr>
          <w:rFonts w:ascii="Bookman Old Style" w:hAnsi="Bookman Old Style"/>
          <w:b/>
          <w:bCs/>
          <w:u w:val="single"/>
        </w:rPr>
        <w:t>n rapport</w:t>
      </w:r>
      <w:r w:rsidR="00EF4FD0" w:rsidRPr="006B1088">
        <w:rPr>
          <w:rFonts w:ascii="Bookman Old Style" w:hAnsi="Bookman Old Style"/>
          <w:b/>
          <w:bCs/>
          <w:u w:val="single"/>
        </w:rPr>
        <w:t>i</w:t>
      </w:r>
      <w:r w:rsidRPr="006B1088">
        <w:rPr>
          <w:rFonts w:ascii="Bookman Old Style" w:hAnsi="Bookman Old Style"/>
          <w:b/>
          <w:bCs/>
          <w:u w:val="single"/>
        </w:rPr>
        <w:t xml:space="preserve"> a tempo indeterminato</w:t>
      </w:r>
      <w:r w:rsidR="00EF4FD0" w:rsidRPr="007A56CF">
        <w:rPr>
          <w:rFonts w:ascii="Bookman Old Style" w:hAnsi="Bookman Old Style"/>
        </w:rPr>
        <w:t>,</w:t>
      </w:r>
      <w:r w:rsidRPr="007A56CF">
        <w:rPr>
          <w:rFonts w:ascii="Bookman Old Style" w:hAnsi="Bookman Old Style"/>
        </w:rPr>
        <w:t xml:space="preserve"> nei limiti delle facoltà assunzionali già utilizzate.</w:t>
      </w:r>
    </w:p>
    <w:p w14:paraId="4F5F476C" w14:textId="242DFD40" w:rsidR="00BB020B" w:rsidRDefault="007314FE" w:rsidP="00006C06">
      <w:pPr>
        <w:jc w:val="both"/>
        <w:rPr>
          <w:rFonts w:ascii="Bookman Old Style" w:hAnsi="Bookman Old Style"/>
        </w:rPr>
      </w:pPr>
      <w:r w:rsidRPr="007A56CF">
        <w:rPr>
          <w:rFonts w:ascii="Bookman Old Style" w:hAnsi="Bookman Old Style"/>
        </w:rPr>
        <w:lastRenderedPageBreak/>
        <w:t xml:space="preserve">La norma </w:t>
      </w:r>
      <w:r w:rsidR="006C148C" w:rsidRPr="007A56CF">
        <w:rPr>
          <w:rFonts w:ascii="Bookman Old Style" w:hAnsi="Bookman Old Style"/>
        </w:rPr>
        <w:t xml:space="preserve">individua anche strumenti e risorse utili ad agevolare il completamento del percorso formativo </w:t>
      </w:r>
      <w:r w:rsidR="00FA1824" w:rsidRPr="007A56CF">
        <w:rPr>
          <w:rFonts w:ascii="Bookman Old Style" w:hAnsi="Bookman Old Style"/>
        </w:rPr>
        <w:t xml:space="preserve">universitario </w:t>
      </w:r>
      <w:r w:rsidR="006D37F2" w:rsidRPr="007A56CF">
        <w:rPr>
          <w:rFonts w:ascii="Bookman Old Style" w:hAnsi="Bookman Old Style"/>
        </w:rPr>
        <w:t>del personale tecnico</w:t>
      </w:r>
      <w:r w:rsidR="00D210C2">
        <w:rPr>
          <w:rFonts w:ascii="Bookman Old Style" w:hAnsi="Bookman Old Style"/>
        </w:rPr>
        <w:t>,</w:t>
      </w:r>
      <w:r w:rsidR="006D37F2" w:rsidRPr="007A56CF">
        <w:rPr>
          <w:rFonts w:ascii="Bookman Old Style" w:hAnsi="Bookman Old Style"/>
        </w:rPr>
        <w:t xml:space="preserve"> reclutato con queste speciali modalità, </w:t>
      </w:r>
      <w:r w:rsidR="00FA1824" w:rsidRPr="007A56CF">
        <w:rPr>
          <w:rFonts w:ascii="Bookman Old Style" w:hAnsi="Bookman Old Style"/>
        </w:rPr>
        <w:t>ricorrendo al progetto “PA 110 e lode”.</w:t>
      </w:r>
    </w:p>
    <w:p w14:paraId="27F5E20C" w14:textId="001D56EC" w:rsidR="00AC29B4" w:rsidRPr="007B5C58" w:rsidRDefault="000B5B75" w:rsidP="007B5C58">
      <w:pPr>
        <w:pStyle w:val="Paragrafoelenco"/>
        <w:numPr>
          <w:ilvl w:val="0"/>
          <w:numId w:val="1"/>
        </w:numPr>
        <w:jc w:val="both"/>
        <w:rPr>
          <w:rFonts w:ascii="Bookman Old Style" w:hAnsi="Bookman Old Style"/>
          <w:b/>
          <w:bCs/>
        </w:rPr>
      </w:pPr>
      <w:r w:rsidRPr="007B5C58">
        <w:rPr>
          <w:rFonts w:ascii="Bookman Old Style" w:hAnsi="Bookman Old Style"/>
          <w:b/>
          <w:bCs/>
        </w:rPr>
        <w:t>Misure urgenti per l’attrattività della pubblica amministrazione per i giovani (Art. 1, comma 1-bis)</w:t>
      </w:r>
    </w:p>
    <w:p w14:paraId="420336BD" w14:textId="1E15744F" w:rsidR="00AC29B4" w:rsidRPr="00F07AE6" w:rsidRDefault="000B5B75" w:rsidP="00CD4153">
      <w:pPr>
        <w:spacing w:after="0" w:line="240" w:lineRule="auto"/>
        <w:jc w:val="both"/>
        <w:rPr>
          <w:rFonts w:ascii="Bookman Old Style" w:hAnsi="Bookman Old Style"/>
        </w:rPr>
      </w:pPr>
      <w:r w:rsidRPr="00F07AE6">
        <w:rPr>
          <w:rFonts w:ascii="Bookman Old Style" w:hAnsi="Bookman Old Style"/>
        </w:rPr>
        <w:t xml:space="preserve">La norma, </w:t>
      </w:r>
      <w:r w:rsidRPr="00F07AE6">
        <w:rPr>
          <w:rFonts w:ascii="Bookman Old Style" w:hAnsi="Bookman Old Style"/>
          <w:b/>
          <w:bCs/>
        </w:rPr>
        <w:t>richiesta dall’ANCI</w:t>
      </w:r>
      <w:r w:rsidR="00CD4153" w:rsidRPr="00F07AE6">
        <w:rPr>
          <w:rFonts w:ascii="Bookman Old Style" w:hAnsi="Bookman Old Style"/>
        </w:rPr>
        <w:t xml:space="preserve"> e</w:t>
      </w:r>
      <w:r w:rsidRPr="00F07AE6">
        <w:rPr>
          <w:rFonts w:ascii="Bookman Old Style" w:hAnsi="Bookman Old Style"/>
        </w:rPr>
        <w:t xml:space="preserve"> approvata </w:t>
      </w:r>
      <w:bookmarkStart w:id="0" w:name="_Hlk201313826"/>
      <w:r w:rsidR="007977B2">
        <w:rPr>
          <w:rFonts w:ascii="Bookman Old Style" w:hAnsi="Bookman Old Style"/>
        </w:rPr>
        <w:t>durante l’esame parlamentare</w:t>
      </w:r>
      <w:bookmarkEnd w:id="0"/>
      <w:r w:rsidR="00F07AE6">
        <w:rPr>
          <w:rFonts w:ascii="Bookman Old Style" w:hAnsi="Bookman Old Style"/>
        </w:rPr>
        <w:t>,</w:t>
      </w:r>
      <w:r w:rsidRPr="00F07AE6">
        <w:rPr>
          <w:rFonts w:ascii="Bookman Old Style" w:hAnsi="Bookman Old Style"/>
        </w:rPr>
        <w:t xml:space="preserve"> </w:t>
      </w:r>
      <w:r w:rsidR="1189CB8B" w:rsidRPr="00F07AE6">
        <w:rPr>
          <w:rFonts w:ascii="Bookman Old Style" w:hAnsi="Bookman Old Style"/>
        </w:rPr>
        <w:t>amplia significativamente l’effettività della</w:t>
      </w:r>
      <w:r w:rsidR="00AC29B4" w:rsidRPr="00F07AE6">
        <w:rPr>
          <w:rFonts w:ascii="Bookman Old Style" w:hAnsi="Bookman Old Style"/>
        </w:rPr>
        <w:t xml:space="preserve"> disciplina finalizzata all’attrazione dei giovani verso l’impiego nella pubblica amministrazione, introdotta dall’art. 2, comma 3-ter, del D.L</w:t>
      </w:r>
      <w:r w:rsidR="00F07AE6">
        <w:rPr>
          <w:rFonts w:ascii="Bookman Old Style" w:hAnsi="Bookman Old Style"/>
        </w:rPr>
        <w:t>.</w:t>
      </w:r>
      <w:r w:rsidR="00AC29B4" w:rsidRPr="00F07AE6">
        <w:rPr>
          <w:rFonts w:ascii="Bookman Old Style" w:hAnsi="Bookman Old Style"/>
        </w:rPr>
        <w:t xml:space="preserve"> n. 44/2023</w:t>
      </w:r>
      <w:r w:rsidR="76174FCA" w:rsidRPr="00F07AE6">
        <w:rPr>
          <w:rFonts w:ascii="Bookman Old Style" w:hAnsi="Bookman Old Style"/>
        </w:rPr>
        <w:t>, estendendo la possibilità di reclutare</w:t>
      </w:r>
      <w:r w:rsidR="00842D7C">
        <w:rPr>
          <w:rFonts w:ascii="Bookman Old Style" w:hAnsi="Bookman Old Style"/>
        </w:rPr>
        <w:t>,</w:t>
      </w:r>
      <w:r w:rsidR="76174FCA" w:rsidRPr="00F07AE6">
        <w:rPr>
          <w:rFonts w:ascii="Bookman Old Style" w:hAnsi="Bookman Old Style"/>
        </w:rPr>
        <w:t xml:space="preserve"> mediante contratto di formazione lavoro, con inquadramento nell’Area dei Funzionari, anche </w:t>
      </w:r>
      <w:r w:rsidR="00842D7C">
        <w:rPr>
          <w:rFonts w:ascii="Bookman Old Style" w:hAnsi="Bookman Old Style"/>
        </w:rPr>
        <w:t>gli</w:t>
      </w:r>
      <w:r w:rsidR="76174FCA" w:rsidRPr="00F07AE6">
        <w:rPr>
          <w:rFonts w:ascii="Bookman Old Style" w:hAnsi="Bookman Old Style"/>
        </w:rPr>
        <w:t xml:space="preserve"> studenti universitari iscritti almeno al terzo anno del ci</w:t>
      </w:r>
      <w:r w:rsidR="64D78586" w:rsidRPr="00F07AE6">
        <w:rPr>
          <w:rFonts w:ascii="Bookman Old Style" w:hAnsi="Bookman Old Style"/>
        </w:rPr>
        <w:t xml:space="preserve">clo di studi e in regola con il conseguimento dei crediti formativi. </w:t>
      </w:r>
      <w:r w:rsidR="7C08442F" w:rsidRPr="00F07AE6">
        <w:rPr>
          <w:rFonts w:ascii="Bookman Old Style" w:hAnsi="Bookman Old Style"/>
        </w:rPr>
        <w:t>Le selezioni sono effettuate in convenzione con le Università</w:t>
      </w:r>
      <w:r w:rsidR="00E96A7E">
        <w:rPr>
          <w:rFonts w:ascii="Bookman Old Style" w:hAnsi="Bookman Old Style"/>
        </w:rPr>
        <w:t xml:space="preserve"> e</w:t>
      </w:r>
      <w:r w:rsidR="7C08442F" w:rsidRPr="00F07AE6">
        <w:rPr>
          <w:rFonts w:ascii="Bookman Old Style" w:hAnsi="Bookman Old Style"/>
        </w:rPr>
        <w:t xml:space="preserve"> l</w:t>
      </w:r>
      <w:r w:rsidR="64D78586" w:rsidRPr="00F07AE6">
        <w:rPr>
          <w:rFonts w:ascii="Bookman Old Style" w:hAnsi="Bookman Old Style"/>
        </w:rPr>
        <w:t>e assunzioni avvengono a tempo determinato e sono convertibili a tempo indeterminato dopo il c</w:t>
      </w:r>
      <w:r w:rsidR="206B383D" w:rsidRPr="00F07AE6">
        <w:rPr>
          <w:rFonts w:ascii="Bookman Old Style" w:hAnsi="Bookman Old Style"/>
        </w:rPr>
        <w:t>onseguimento della laurea e previa valutazione positiva.</w:t>
      </w:r>
    </w:p>
    <w:p w14:paraId="6DAA56C8" w14:textId="61BB230C" w:rsidR="018674B1" w:rsidRDefault="018674B1" w:rsidP="018674B1">
      <w:pPr>
        <w:jc w:val="both"/>
        <w:rPr>
          <w:rFonts w:ascii="Bookman Old Style" w:hAnsi="Bookman Old Style"/>
        </w:rPr>
      </w:pPr>
    </w:p>
    <w:p w14:paraId="3C1BE256" w14:textId="1260ABD1" w:rsidR="00C432AD" w:rsidRPr="00747569" w:rsidRDefault="0042549B" w:rsidP="00006C06">
      <w:pPr>
        <w:jc w:val="both"/>
        <w:rPr>
          <w:rFonts w:ascii="Bookman Old Style" w:hAnsi="Bookman Old Style" w:cs="Aptos"/>
          <w:b/>
          <w:color w:val="0070C0"/>
          <w:kern w:val="0"/>
          <w14:ligatures w14:val="none"/>
        </w:rPr>
      </w:pPr>
      <w:r w:rsidRPr="00747569">
        <w:rPr>
          <w:rFonts w:ascii="Bookman Old Style" w:hAnsi="Bookman Old Style" w:cs="Aptos"/>
          <w:b/>
          <w:color w:val="0070C0"/>
          <w:kern w:val="0"/>
          <w14:ligatures w14:val="none"/>
        </w:rPr>
        <w:t>Disposizioni urgenti per il superamento del precariato dei giovani nella pubblica amministrazione</w:t>
      </w:r>
      <w:r w:rsidR="00747569">
        <w:rPr>
          <w:rFonts w:ascii="Bookman Old Style" w:hAnsi="Bookman Old Style" w:cs="Aptos"/>
          <w:b/>
          <w:color w:val="0070C0"/>
          <w:kern w:val="0"/>
          <w14:ligatures w14:val="none"/>
        </w:rPr>
        <w:t xml:space="preserve"> (</w:t>
      </w:r>
      <w:r w:rsidRPr="00747569">
        <w:rPr>
          <w:rFonts w:ascii="Bookman Old Style" w:hAnsi="Bookman Old Style" w:cs="Aptos"/>
          <w:b/>
          <w:color w:val="0070C0"/>
          <w:kern w:val="0"/>
          <w14:ligatures w14:val="none"/>
        </w:rPr>
        <w:t>Art. 2</w:t>
      </w:r>
      <w:r w:rsidR="00747569">
        <w:rPr>
          <w:rFonts w:ascii="Bookman Old Style" w:hAnsi="Bookman Old Style" w:cs="Aptos"/>
          <w:b/>
          <w:color w:val="0070C0"/>
          <w:kern w:val="0"/>
          <w14:ligatures w14:val="none"/>
        </w:rPr>
        <w:t>)</w:t>
      </w:r>
    </w:p>
    <w:p w14:paraId="346D8297" w14:textId="024763DA" w:rsidR="00C432AD" w:rsidRPr="00747569" w:rsidRDefault="00C432AD" w:rsidP="00747569">
      <w:pPr>
        <w:pStyle w:val="Paragrafoelenco"/>
        <w:numPr>
          <w:ilvl w:val="0"/>
          <w:numId w:val="1"/>
        </w:numPr>
        <w:jc w:val="both"/>
        <w:rPr>
          <w:rFonts w:ascii="Bookman Old Style" w:hAnsi="Bookman Old Style"/>
        </w:rPr>
      </w:pPr>
      <w:r w:rsidRPr="00747569">
        <w:rPr>
          <w:rFonts w:ascii="Bookman Old Style" w:hAnsi="Bookman Old Style"/>
          <w:b/>
          <w:bCs/>
        </w:rPr>
        <w:t>S</w:t>
      </w:r>
      <w:r w:rsidR="00594EDB" w:rsidRPr="00747569">
        <w:rPr>
          <w:rFonts w:ascii="Bookman Old Style" w:hAnsi="Bookman Old Style"/>
          <w:b/>
          <w:bCs/>
        </w:rPr>
        <w:t>tabilizzazioni assistenti sociali</w:t>
      </w:r>
      <w:r w:rsidR="00747569" w:rsidRPr="00747569">
        <w:rPr>
          <w:rFonts w:ascii="Bookman Old Style" w:hAnsi="Bookman Old Style"/>
          <w:b/>
          <w:bCs/>
        </w:rPr>
        <w:t xml:space="preserve"> (Art. 2, comma 3)</w:t>
      </w:r>
    </w:p>
    <w:p w14:paraId="1395E4D4" w14:textId="567F6C3C" w:rsidR="00B26CBC" w:rsidRDefault="00B26CBC" w:rsidP="00006C06">
      <w:pPr>
        <w:jc w:val="both"/>
        <w:rPr>
          <w:rFonts w:ascii="Bookman Old Style" w:hAnsi="Bookman Old Style"/>
        </w:rPr>
      </w:pPr>
      <w:r w:rsidRPr="00747569">
        <w:rPr>
          <w:rFonts w:ascii="Bookman Old Style" w:hAnsi="Bookman Old Style"/>
        </w:rPr>
        <w:t xml:space="preserve">La norma accoglie una specifica </w:t>
      </w:r>
      <w:r w:rsidRPr="0041158D">
        <w:rPr>
          <w:rFonts w:ascii="Bookman Old Style" w:hAnsi="Bookman Old Style"/>
          <w:b/>
          <w:bCs/>
        </w:rPr>
        <w:t>richiesta dell’ANCI</w:t>
      </w:r>
      <w:r w:rsidRPr="00747569">
        <w:rPr>
          <w:rFonts w:ascii="Bookman Old Style" w:hAnsi="Bookman Old Style"/>
        </w:rPr>
        <w:t xml:space="preserve">, prevedendo </w:t>
      </w:r>
      <w:r w:rsidR="00201321" w:rsidRPr="00747569">
        <w:rPr>
          <w:rFonts w:ascii="Bookman Old Style" w:hAnsi="Bookman Old Style"/>
        </w:rPr>
        <w:t>il differimento del termine a tutto il 2025 per l’applicazione delle misure relative al</w:t>
      </w:r>
      <w:r w:rsidR="00A047EB">
        <w:rPr>
          <w:rFonts w:ascii="Bookman Old Style" w:hAnsi="Bookman Old Style"/>
        </w:rPr>
        <w:t>l</w:t>
      </w:r>
      <w:r w:rsidR="004375D4">
        <w:rPr>
          <w:rFonts w:ascii="Bookman Old Style" w:hAnsi="Bookman Old Style"/>
        </w:rPr>
        <w:t xml:space="preserve">a </w:t>
      </w:r>
      <w:r w:rsidR="004B31E8">
        <w:rPr>
          <w:rFonts w:ascii="Bookman Old Style" w:hAnsi="Bookman Old Style"/>
        </w:rPr>
        <w:t xml:space="preserve">stabilizzazione </w:t>
      </w:r>
      <w:r w:rsidR="004B31E8" w:rsidRPr="00747569">
        <w:rPr>
          <w:rFonts w:ascii="Bookman Old Style" w:hAnsi="Bookman Old Style"/>
        </w:rPr>
        <w:t>del</w:t>
      </w:r>
      <w:r w:rsidR="004375D4">
        <w:rPr>
          <w:rFonts w:ascii="Bookman Old Style" w:hAnsi="Bookman Old Style"/>
        </w:rPr>
        <w:t xml:space="preserve"> </w:t>
      </w:r>
      <w:r w:rsidR="00356F20">
        <w:rPr>
          <w:rFonts w:ascii="Bookman Old Style" w:hAnsi="Bookman Old Style"/>
        </w:rPr>
        <w:t xml:space="preserve">personale </w:t>
      </w:r>
      <w:r w:rsidR="00356F20" w:rsidRPr="00747569">
        <w:rPr>
          <w:rFonts w:ascii="Bookman Old Style" w:hAnsi="Bookman Old Style"/>
        </w:rPr>
        <w:t>precario</w:t>
      </w:r>
      <w:r w:rsidR="00201321" w:rsidRPr="00747569">
        <w:rPr>
          <w:rFonts w:ascii="Bookman Old Style" w:hAnsi="Bookman Old Style"/>
        </w:rPr>
        <w:t xml:space="preserve"> contenute </w:t>
      </w:r>
      <w:r w:rsidR="008D41F6" w:rsidRPr="00747569">
        <w:rPr>
          <w:rFonts w:ascii="Bookman Old Style" w:hAnsi="Bookman Old Style"/>
        </w:rPr>
        <w:t xml:space="preserve">nel </w:t>
      </w:r>
      <w:proofErr w:type="spellStart"/>
      <w:r w:rsidR="008D41F6" w:rsidRPr="00747569">
        <w:rPr>
          <w:rFonts w:ascii="Bookman Old Style" w:hAnsi="Bookman Old Style"/>
        </w:rPr>
        <w:t>D.Lgs.</w:t>
      </w:r>
      <w:proofErr w:type="spellEnd"/>
      <w:r w:rsidR="008D41F6" w:rsidRPr="00747569">
        <w:rPr>
          <w:rFonts w:ascii="Bookman Old Style" w:hAnsi="Bookman Old Style"/>
        </w:rPr>
        <w:t xml:space="preserve"> n. 75/2017, con riferimento agli assistenti sociali assunti con contratto a termine</w:t>
      </w:r>
      <w:r w:rsidR="00476CEE">
        <w:rPr>
          <w:rFonts w:ascii="Bookman Old Style" w:hAnsi="Bookman Old Style"/>
        </w:rPr>
        <w:t>. La misura è</w:t>
      </w:r>
      <w:r w:rsidR="008D41F6" w:rsidRPr="00747569">
        <w:rPr>
          <w:rFonts w:ascii="Bookman Old Style" w:hAnsi="Bookman Old Style"/>
        </w:rPr>
        <w:t xml:space="preserve"> finanziat</w:t>
      </w:r>
      <w:r w:rsidR="00476CEE">
        <w:rPr>
          <w:rFonts w:ascii="Bookman Old Style" w:hAnsi="Bookman Old Style"/>
        </w:rPr>
        <w:t>a</w:t>
      </w:r>
      <w:r w:rsidR="008D41F6" w:rsidRPr="00747569">
        <w:rPr>
          <w:rFonts w:ascii="Bookman Old Style" w:hAnsi="Bookman Old Style"/>
        </w:rPr>
        <w:t xml:space="preserve"> con le risorse </w:t>
      </w:r>
      <w:r w:rsidR="00EB4D9A" w:rsidRPr="00747569">
        <w:rPr>
          <w:rFonts w:ascii="Bookman Old Style" w:hAnsi="Bookman Old Style"/>
        </w:rPr>
        <w:t xml:space="preserve">stanziate dal comma 200 della Legge di bilancio 2018 (l. n. </w:t>
      </w:r>
      <w:r w:rsidR="00892E4B" w:rsidRPr="00747569">
        <w:rPr>
          <w:rFonts w:ascii="Bookman Old Style" w:hAnsi="Bookman Old Style"/>
        </w:rPr>
        <w:t xml:space="preserve">205/2017). Si tratta di un’importante novità, utile a dare continuità nella presa in carico </w:t>
      </w:r>
      <w:r w:rsidR="002F2EEE" w:rsidRPr="00747569">
        <w:rPr>
          <w:rFonts w:ascii="Bookman Old Style" w:hAnsi="Bookman Old Style"/>
        </w:rPr>
        <w:t>dei beneficiari dei servizi di welfare comunali.</w:t>
      </w:r>
    </w:p>
    <w:p w14:paraId="24872A74" w14:textId="77777777" w:rsidR="009072A6" w:rsidRPr="00747569" w:rsidRDefault="009072A6" w:rsidP="00006C06">
      <w:pPr>
        <w:jc w:val="both"/>
        <w:rPr>
          <w:rFonts w:ascii="Bookman Old Style" w:hAnsi="Bookman Old Style"/>
        </w:rPr>
      </w:pPr>
    </w:p>
    <w:p w14:paraId="0D40EC9F" w14:textId="51EC5DF8" w:rsidR="002F2EEE" w:rsidRPr="00997E59" w:rsidRDefault="004847C7" w:rsidP="00006C06">
      <w:pPr>
        <w:jc w:val="both"/>
        <w:rPr>
          <w:rFonts w:ascii="Bookman Old Style" w:hAnsi="Bookman Old Style" w:cs="Aptos"/>
          <w:b/>
          <w:color w:val="0070C0"/>
          <w:kern w:val="0"/>
          <w14:ligatures w14:val="none"/>
        </w:rPr>
      </w:pPr>
      <w:r w:rsidRPr="00997E59">
        <w:rPr>
          <w:rFonts w:ascii="Bookman Old Style" w:hAnsi="Bookman Old Style" w:cs="Aptos"/>
          <w:b/>
          <w:color w:val="0070C0"/>
          <w:kern w:val="0"/>
          <w14:ligatures w14:val="none"/>
        </w:rPr>
        <w:t>Modifiche al decreto legislativo 30 marzo 2001, n. 165</w:t>
      </w:r>
      <w:r w:rsidR="00997E59">
        <w:rPr>
          <w:rFonts w:ascii="Bookman Old Style" w:hAnsi="Bookman Old Style" w:cs="Aptos"/>
          <w:b/>
          <w:color w:val="0070C0"/>
          <w:kern w:val="0"/>
          <w14:ligatures w14:val="none"/>
        </w:rPr>
        <w:t xml:space="preserve"> (Art. 3</w:t>
      </w:r>
      <w:r w:rsidR="00896E80">
        <w:rPr>
          <w:rFonts w:ascii="Bookman Old Style" w:hAnsi="Bookman Old Style" w:cs="Aptos"/>
          <w:b/>
          <w:color w:val="0070C0"/>
          <w:kern w:val="0"/>
          <w14:ligatures w14:val="none"/>
        </w:rPr>
        <w:t xml:space="preserve">) </w:t>
      </w:r>
    </w:p>
    <w:p w14:paraId="3066CB1D" w14:textId="57A13604" w:rsidR="00C432AD" w:rsidRPr="00606F8A" w:rsidRDefault="00737301" w:rsidP="00997E59">
      <w:pPr>
        <w:pStyle w:val="Paragrafoelenco"/>
        <w:numPr>
          <w:ilvl w:val="0"/>
          <w:numId w:val="1"/>
        </w:numPr>
        <w:jc w:val="both"/>
        <w:rPr>
          <w:rFonts w:ascii="Bookman Old Style" w:hAnsi="Bookman Old Style"/>
          <w:b/>
          <w:bCs/>
        </w:rPr>
      </w:pPr>
      <w:r w:rsidRPr="00997E59">
        <w:rPr>
          <w:rFonts w:ascii="Bookman Old Style" w:hAnsi="Bookman Old Style"/>
          <w:b/>
          <w:bCs/>
        </w:rPr>
        <w:t>Nuova disciplina della mobilità propedeutica all’indizione di concorsi pubblici</w:t>
      </w:r>
      <w:r w:rsidR="00896E80">
        <w:rPr>
          <w:rFonts w:ascii="Bookman Old Style" w:hAnsi="Bookman Old Style"/>
          <w:b/>
          <w:bCs/>
        </w:rPr>
        <w:t xml:space="preserve"> </w:t>
      </w:r>
      <w:r w:rsidR="00606F8A" w:rsidRPr="00606F8A">
        <w:rPr>
          <w:rFonts w:ascii="Bookman Old Style" w:hAnsi="Bookman Old Style"/>
          <w:b/>
          <w:bCs/>
        </w:rPr>
        <w:t>(</w:t>
      </w:r>
      <w:r w:rsidR="00896E80" w:rsidRPr="00606F8A">
        <w:rPr>
          <w:rFonts w:ascii="Bookman Old Style" w:hAnsi="Bookman Old Style"/>
          <w:b/>
          <w:bCs/>
        </w:rPr>
        <w:t>Art. 3</w:t>
      </w:r>
      <w:r w:rsidR="00896E80" w:rsidRPr="00606F8A">
        <w:rPr>
          <w:rFonts w:ascii="Bookman Old Style" w:hAnsi="Bookman Old Style" w:cs="Aptos"/>
          <w:b/>
          <w:kern w:val="0"/>
          <w14:ligatures w14:val="none"/>
        </w:rPr>
        <w:t>, comma 1, lettera c))</w:t>
      </w:r>
    </w:p>
    <w:p w14:paraId="5EB2D1A6" w14:textId="72EAC66D" w:rsidR="00737301" w:rsidRPr="00997E59" w:rsidRDefault="003A7934" w:rsidP="00006C06">
      <w:pPr>
        <w:jc w:val="both"/>
        <w:rPr>
          <w:rFonts w:ascii="Bookman Old Style" w:hAnsi="Bookman Old Style"/>
        </w:rPr>
      </w:pPr>
      <w:r w:rsidRPr="00997E59">
        <w:rPr>
          <w:rFonts w:ascii="Bookman Old Style" w:hAnsi="Bookman Old Style"/>
        </w:rPr>
        <w:t xml:space="preserve">Il nuovo comma 2-bis dell’art. 30 del </w:t>
      </w:r>
      <w:proofErr w:type="spellStart"/>
      <w:r w:rsidRPr="00997E59">
        <w:rPr>
          <w:rFonts w:ascii="Bookman Old Style" w:hAnsi="Bookman Old Style"/>
        </w:rPr>
        <w:t>D.Lgs.</w:t>
      </w:r>
      <w:proofErr w:type="spellEnd"/>
      <w:r w:rsidRPr="00997E59">
        <w:rPr>
          <w:rFonts w:ascii="Bookman Old Style" w:hAnsi="Bookman Old Style"/>
        </w:rPr>
        <w:t xml:space="preserve"> n. 165/2001</w:t>
      </w:r>
      <w:r w:rsidR="00102E71" w:rsidRPr="00997E59">
        <w:rPr>
          <w:rFonts w:ascii="Bookman Old Style" w:hAnsi="Bookman Old Style"/>
        </w:rPr>
        <w:t xml:space="preserve"> dispone una radicale </w:t>
      </w:r>
      <w:r w:rsidR="006361A1">
        <w:rPr>
          <w:rFonts w:ascii="Bookman Old Style" w:hAnsi="Bookman Old Style"/>
        </w:rPr>
        <w:t xml:space="preserve">riforma della </w:t>
      </w:r>
      <w:r w:rsidR="00102E71" w:rsidRPr="00997E59">
        <w:rPr>
          <w:rFonts w:ascii="Bookman Old Style" w:hAnsi="Bookman Old Style"/>
        </w:rPr>
        <w:t xml:space="preserve">disciplina </w:t>
      </w:r>
      <w:r w:rsidR="000A65AB" w:rsidRPr="00997E59">
        <w:rPr>
          <w:rFonts w:ascii="Bookman Old Style" w:hAnsi="Bookman Old Style"/>
        </w:rPr>
        <w:t>dell’istituto della mobilità volontaria propedeutica all’indizione di nuove procedure di reclutamento</w:t>
      </w:r>
      <w:r w:rsidR="005A7D1E">
        <w:rPr>
          <w:rFonts w:ascii="Bookman Old Style" w:hAnsi="Bookman Old Style"/>
        </w:rPr>
        <w:t xml:space="preserve"> (cd mobilità propedeutica)</w:t>
      </w:r>
      <w:r w:rsidR="000A65AB" w:rsidRPr="00997E59">
        <w:rPr>
          <w:rFonts w:ascii="Bookman Old Style" w:hAnsi="Bookman Old Style"/>
        </w:rPr>
        <w:t>.</w:t>
      </w:r>
    </w:p>
    <w:p w14:paraId="41EC7354" w14:textId="05438EEB" w:rsidR="000A65AB" w:rsidRPr="00997E59" w:rsidRDefault="001B30EA" w:rsidP="00006C06">
      <w:pPr>
        <w:jc w:val="both"/>
        <w:rPr>
          <w:rFonts w:ascii="Bookman Old Style" w:hAnsi="Bookman Old Style"/>
        </w:rPr>
      </w:pPr>
      <w:r w:rsidRPr="00997E59">
        <w:rPr>
          <w:rFonts w:ascii="Bookman Old Style" w:hAnsi="Bookman Old Style"/>
          <w:b/>
          <w:bCs/>
          <w:u w:val="single"/>
        </w:rPr>
        <w:t>È</w:t>
      </w:r>
      <w:r w:rsidR="000A65AB" w:rsidRPr="00997E59">
        <w:rPr>
          <w:rFonts w:ascii="Bookman Old Style" w:hAnsi="Bookman Old Style"/>
          <w:b/>
          <w:bCs/>
          <w:u w:val="single"/>
        </w:rPr>
        <w:t xml:space="preserve"> importa</w:t>
      </w:r>
      <w:r w:rsidR="00735548">
        <w:rPr>
          <w:rFonts w:ascii="Bookman Old Style" w:hAnsi="Bookman Old Style"/>
          <w:b/>
          <w:bCs/>
          <w:u w:val="single"/>
        </w:rPr>
        <w:t>n</w:t>
      </w:r>
      <w:r w:rsidR="000A65AB" w:rsidRPr="00997E59">
        <w:rPr>
          <w:rFonts w:ascii="Bookman Old Style" w:hAnsi="Bookman Old Style"/>
          <w:b/>
          <w:bCs/>
          <w:u w:val="single"/>
        </w:rPr>
        <w:t xml:space="preserve">te chiarire </w:t>
      </w:r>
      <w:r w:rsidR="000908EE">
        <w:rPr>
          <w:rFonts w:ascii="Bookman Old Style" w:hAnsi="Bookman Old Style"/>
          <w:b/>
          <w:bCs/>
          <w:u w:val="single"/>
        </w:rPr>
        <w:t xml:space="preserve">immediatamente </w:t>
      </w:r>
      <w:r w:rsidR="000908EE" w:rsidRPr="00997E59">
        <w:rPr>
          <w:rFonts w:ascii="Bookman Old Style" w:hAnsi="Bookman Old Style"/>
          <w:b/>
          <w:bCs/>
          <w:u w:val="single"/>
        </w:rPr>
        <w:t>che</w:t>
      </w:r>
      <w:r w:rsidR="000A65AB" w:rsidRPr="00997E59">
        <w:rPr>
          <w:rFonts w:ascii="Bookman Old Style" w:hAnsi="Bookman Old Style"/>
          <w:b/>
          <w:bCs/>
          <w:u w:val="single"/>
        </w:rPr>
        <w:t xml:space="preserve"> </w:t>
      </w:r>
      <w:r w:rsidR="002904B6" w:rsidRPr="00997E59">
        <w:rPr>
          <w:rFonts w:ascii="Bookman Old Style" w:hAnsi="Bookman Old Style"/>
          <w:b/>
          <w:bCs/>
          <w:u w:val="single"/>
        </w:rPr>
        <w:t xml:space="preserve">l’applicazione di </w:t>
      </w:r>
      <w:r w:rsidR="0054333D" w:rsidRPr="00997E59">
        <w:rPr>
          <w:rFonts w:ascii="Bookman Old Style" w:hAnsi="Bookman Old Style"/>
          <w:b/>
          <w:bCs/>
          <w:u w:val="single"/>
        </w:rPr>
        <w:t>tale</w:t>
      </w:r>
      <w:r w:rsidR="00703C63">
        <w:rPr>
          <w:rFonts w:ascii="Bookman Old Style" w:hAnsi="Bookman Old Style"/>
          <w:b/>
          <w:bCs/>
          <w:u w:val="single"/>
        </w:rPr>
        <w:t xml:space="preserve"> nuova</w:t>
      </w:r>
      <w:r w:rsidR="0054333D" w:rsidRPr="00997E59">
        <w:rPr>
          <w:rFonts w:ascii="Bookman Old Style" w:hAnsi="Bookman Old Style"/>
          <w:b/>
          <w:bCs/>
          <w:u w:val="single"/>
        </w:rPr>
        <w:t xml:space="preserve"> disciplina sarà </w:t>
      </w:r>
      <w:r w:rsidR="002904B6" w:rsidRPr="00997E59">
        <w:rPr>
          <w:rFonts w:ascii="Bookman Old Style" w:hAnsi="Bookman Old Style"/>
          <w:b/>
          <w:bCs/>
          <w:u w:val="single"/>
        </w:rPr>
        <w:t>obbligatoria</w:t>
      </w:r>
      <w:r w:rsidR="00446915" w:rsidRPr="00997E59">
        <w:rPr>
          <w:rFonts w:ascii="Bookman Old Style" w:hAnsi="Bookman Old Style"/>
          <w:b/>
          <w:bCs/>
          <w:u w:val="single"/>
        </w:rPr>
        <w:t xml:space="preserve"> solo</w:t>
      </w:r>
      <w:r w:rsidR="0054333D" w:rsidRPr="00997E59">
        <w:rPr>
          <w:rFonts w:ascii="Bookman Old Style" w:hAnsi="Bookman Old Style"/>
          <w:b/>
          <w:bCs/>
          <w:u w:val="single"/>
        </w:rPr>
        <w:t xml:space="preserve"> a decorrere dal 2026, tenuto conto che il D.L.</w:t>
      </w:r>
      <w:r w:rsidR="00B35A68" w:rsidRPr="00997E59">
        <w:rPr>
          <w:rFonts w:ascii="Bookman Old Style" w:hAnsi="Bookman Old Style"/>
          <w:b/>
          <w:bCs/>
          <w:u w:val="single"/>
        </w:rPr>
        <w:t xml:space="preserve"> n. 202/2024</w:t>
      </w:r>
      <w:r w:rsidR="006E427F">
        <w:rPr>
          <w:rFonts w:ascii="Bookman Old Style" w:hAnsi="Bookman Old Style"/>
          <w:b/>
          <w:bCs/>
          <w:u w:val="single"/>
        </w:rPr>
        <w:t>, come convertito con modificazioni</w:t>
      </w:r>
      <w:r w:rsidR="008D6218">
        <w:rPr>
          <w:rFonts w:ascii="Bookman Old Style" w:hAnsi="Bookman Old Style"/>
          <w:b/>
          <w:bCs/>
          <w:u w:val="single"/>
        </w:rPr>
        <w:t xml:space="preserve"> </w:t>
      </w:r>
      <w:r w:rsidR="008D6218" w:rsidRPr="008D6218">
        <w:rPr>
          <w:rFonts w:ascii="Bookman Old Style" w:hAnsi="Bookman Old Style"/>
          <w:b/>
          <w:bCs/>
          <w:u w:val="single"/>
        </w:rPr>
        <w:t>dalla L. 21 febbraio 2025, n. 15</w:t>
      </w:r>
      <w:r w:rsidR="00055742">
        <w:rPr>
          <w:rFonts w:ascii="Bookman Old Style" w:hAnsi="Bookman Old Style"/>
          <w:b/>
          <w:bCs/>
          <w:u w:val="single"/>
        </w:rPr>
        <w:t>,</w:t>
      </w:r>
      <w:r w:rsidR="00B35A68" w:rsidRPr="00997E59">
        <w:rPr>
          <w:rFonts w:ascii="Bookman Old Style" w:hAnsi="Bookman Old Style"/>
          <w:b/>
          <w:bCs/>
          <w:u w:val="single"/>
        </w:rPr>
        <w:t xml:space="preserve"> </w:t>
      </w:r>
      <w:r w:rsidR="00AC3504" w:rsidRPr="00997E59">
        <w:rPr>
          <w:rFonts w:ascii="Bookman Old Style" w:hAnsi="Bookman Old Style"/>
          <w:b/>
          <w:bCs/>
          <w:u w:val="single"/>
        </w:rPr>
        <w:t>ha recepito l’emendamento ANCI finalizzato a prorogare di un ulteriore anno (31/12/2025)</w:t>
      </w:r>
      <w:r w:rsidR="002904B6" w:rsidRPr="00997E59">
        <w:rPr>
          <w:rFonts w:ascii="Bookman Old Style" w:hAnsi="Bookman Old Style"/>
          <w:b/>
          <w:bCs/>
          <w:u w:val="single"/>
        </w:rPr>
        <w:t xml:space="preserve"> </w:t>
      </w:r>
      <w:r w:rsidR="00446915" w:rsidRPr="00997E59">
        <w:rPr>
          <w:rFonts w:ascii="Bookman Old Style" w:hAnsi="Bookman Old Style"/>
          <w:b/>
          <w:bCs/>
          <w:u w:val="single"/>
        </w:rPr>
        <w:t xml:space="preserve">la deroga agli obblighi in materia di mobilità </w:t>
      </w:r>
      <w:r w:rsidR="004B3F2D">
        <w:rPr>
          <w:rFonts w:ascii="Bookman Old Style" w:hAnsi="Bookman Old Style"/>
          <w:b/>
          <w:bCs/>
          <w:u w:val="single"/>
        </w:rPr>
        <w:t xml:space="preserve">volontaria </w:t>
      </w:r>
      <w:r w:rsidR="00446915" w:rsidRPr="00997E59">
        <w:rPr>
          <w:rFonts w:ascii="Bookman Old Style" w:hAnsi="Bookman Old Style"/>
          <w:b/>
          <w:bCs/>
          <w:u w:val="single"/>
        </w:rPr>
        <w:t>propedeutica</w:t>
      </w:r>
      <w:r w:rsidR="004B3F2D">
        <w:rPr>
          <w:rFonts w:ascii="Bookman Old Style" w:hAnsi="Bookman Old Style"/>
          <w:b/>
          <w:bCs/>
          <w:u w:val="single"/>
        </w:rPr>
        <w:t xml:space="preserve"> alle assunzioni</w:t>
      </w:r>
      <w:r w:rsidR="00446915" w:rsidRPr="00997E59">
        <w:rPr>
          <w:rFonts w:ascii="Bookman Old Style" w:hAnsi="Bookman Old Style"/>
          <w:b/>
          <w:bCs/>
          <w:u w:val="single"/>
        </w:rPr>
        <w:t>. Questa precisazione è opportuna, ten</w:t>
      </w:r>
      <w:r w:rsidR="00055742">
        <w:rPr>
          <w:rFonts w:ascii="Bookman Old Style" w:hAnsi="Bookman Old Style"/>
          <w:b/>
          <w:bCs/>
          <w:u w:val="single"/>
        </w:rPr>
        <w:t>u</w:t>
      </w:r>
      <w:r w:rsidR="00446915" w:rsidRPr="00997E59">
        <w:rPr>
          <w:rFonts w:ascii="Bookman Old Style" w:hAnsi="Bookman Old Style"/>
          <w:b/>
          <w:bCs/>
          <w:u w:val="single"/>
        </w:rPr>
        <w:t xml:space="preserve">to conto </w:t>
      </w:r>
      <w:r w:rsidR="00723B72" w:rsidRPr="00997E59">
        <w:rPr>
          <w:rFonts w:ascii="Bookman Old Style" w:hAnsi="Bookman Old Style"/>
          <w:b/>
          <w:bCs/>
          <w:u w:val="single"/>
        </w:rPr>
        <w:t>che i Comuni e le Città metropolitane hanno già definito o sono in via di definizione de</w:t>
      </w:r>
      <w:r w:rsidR="0068569B" w:rsidRPr="00997E59">
        <w:rPr>
          <w:rFonts w:ascii="Bookman Old Style" w:hAnsi="Bookman Old Style"/>
          <w:b/>
          <w:bCs/>
          <w:u w:val="single"/>
        </w:rPr>
        <w:t>lla programmazione dei fabbisogni e dei piani assunzionali per il 2025</w:t>
      </w:r>
      <w:r w:rsidR="0068569B" w:rsidRPr="00997E59">
        <w:rPr>
          <w:rFonts w:ascii="Bookman Old Style" w:hAnsi="Bookman Old Style"/>
        </w:rPr>
        <w:t>.</w:t>
      </w:r>
      <w:r w:rsidR="00AC3504" w:rsidRPr="00997E59">
        <w:rPr>
          <w:rFonts w:ascii="Bookman Old Style" w:hAnsi="Bookman Old Style"/>
        </w:rPr>
        <w:t xml:space="preserve"> </w:t>
      </w:r>
    </w:p>
    <w:p w14:paraId="5EE5D3E3" w14:textId="3452C256" w:rsidR="009A3243" w:rsidRPr="00041E2E" w:rsidRDefault="0046633F" w:rsidP="004F61EF">
      <w:pPr>
        <w:jc w:val="both"/>
        <w:rPr>
          <w:rFonts w:ascii="Bookman Old Style" w:hAnsi="Bookman Old Style"/>
          <w:b/>
          <w:bCs/>
        </w:rPr>
      </w:pPr>
      <w:r w:rsidRPr="00041E2E">
        <w:rPr>
          <w:rFonts w:ascii="Bookman Old Style" w:hAnsi="Bookman Old Style"/>
          <w:b/>
          <w:bCs/>
        </w:rPr>
        <w:t>Tale</w:t>
      </w:r>
      <w:r w:rsidR="00BE0174" w:rsidRPr="00041E2E">
        <w:rPr>
          <w:rFonts w:ascii="Bookman Old Style" w:hAnsi="Bookman Old Style"/>
          <w:b/>
          <w:bCs/>
        </w:rPr>
        <w:t xml:space="preserve"> </w:t>
      </w:r>
      <w:r w:rsidR="00041E2E" w:rsidRPr="00041E2E">
        <w:rPr>
          <w:rFonts w:ascii="Bookman Old Style" w:hAnsi="Bookman Old Style"/>
          <w:b/>
          <w:bCs/>
        </w:rPr>
        <w:t>interpretazione</w:t>
      </w:r>
      <w:r w:rsidR="00BE0174" w:rsidRPr="00041E2E">
        <w:rPr>
          <w:rFonts w:ascii="Bookman Old Style" w:hAnsi="Bookman Old Style"/>
          <w:b/>
          <w:bCs/>
        </w:rPr>
        <w:t xml:space="preserve"> è confermata </w:t>
      </w:r>
      <w:r w:rsidR="00ED74AA" w:rsidRPr="00041E2E">
        <w:rPr>
          <w:rFonts w:ascii="Bookman Old Style" w:hAnsi="Bookman Old Style"/>
          <w:b/>
          <w:bCs/>
        </w:rPr>
        <w:t>dalla</w:t>
      </w:r>
      <w:r w:rsidRPr="00041E2E">
        <w:rPr>
          <w:rFonts w:ascii="Bookman Old Style" w:hAnsi="Bookman Old Style"/>
          <w:b/>
          <w:bCs/>
        </w:rPr>
        <w:t xml:space="preserve"> let</w:t>
      </w:r>
      <w:r w:rsidR="00E14CDF" w:rsidRPr="00041E2E">
        <w:rPr>
          <w:rFonts w:ascii="Bookman Old Style" w:hAnsi="Bookman Old Style"/>
          <w:b/>
          <w:bCs/>
        </w:rPr>
        <w:t>tura</w:t>
      </w:r>
      <w:r w:rsidR="00663BEA" w:rsidRPr="00041E2E">
        <w:rPr>
          <w:rFonts w:ascii="Bookman Old Style" w:hAnsi="Bookman Old Style"/>
          <w:b/>
          <w:bCs/>
        </w:rPr>
        <w:t xml:space="preserve"> coordinata e </w:t>
      </w:r>
      <w:r w:rsidR="00E14CDF" w:rsidRPr="00041E2E">
        <w:rPr>
          <w:rFonts w:ascii="Bookman Old Style" w:hAnsi="Bookman Old Style"/>
          <w:b/>
          <w:bCs/>
        </w:rPr>
        <w:t xml:space="preserve">sistematica delle norme ed in </w:t>
      </w:r>
      <w:r w:rsidR="003F681E" w:rsidRPr="00041E2E">
        <w:rPr>
          <w:rFonts w:ascii="Bookman Old Style" w:hAnsi="Bookman Old Style"/>
          <w:b/>
          <w:bCs/>
        </w:rPr>
        <w:t>particolare dalla</w:t>
      </w:r>
      <w:r w:rsidR="00663BEA" w:rsidRPr="00041E2E">
        <w:rPr>
          <w:rFonts w:ascii="Bookman Old Style" w:hAnsi="Bookman Old Style"/>
          <w:b/>
          <w:bCs/>
        </w:rPr>
        <w:t xml:space="preserve"> lettura </w:t>
      </w:r>
      <w:r w:rsidR="00A52DE3" w:rsidRPr="00041E2E">
        <w:rPr>
          <w:rFonts w:ascii="Bookman Old Style" w:hAnsi="Bookman Old Style"/>
          <w:b/>
          <w:bCs/>
        </w:rPr>
        <w:t>dell’articolo 3</w:t>
      </w:r>
      <w:r w:rsidR="00D34765" w:rsidRPr="00041E2E">
        <w:rPr>
          <w:rFonts w:ascii="Bookman Old Style" w:hAnsi="Bookman Old Style"/>
          <w:b/>
          <w:bCs/>
        </w:rPr>
        <w:t xml:space="preserve">, comma 2 del </w:t>
      </w:r>
      <w:r w:rsidR="00542127">
        <w:rPr>
          <w:rFonts w:ascii="Bookman Old Style" w:hAnsi="Bookman Old Style"/>
          <w:b/>
          <w:bCs/>
        </w:rPr>
        <w:t>d</w:t>
      </w:r>
      <w:r w:rsidR="00D34765" w:rsidRPr="00041E2E">
        <w:rPr>
          <w:rFonts w:ascii="Bookman Old Style" w:hAnsi="Bookman Old Style"/>
          <w:b/>
          <w:bCs/>
        </w:rPr>
        <w:t xml:space="preserve">ecreto </w:t>
      </w:r>
      <w:r w:rsidR="00041E2E" w:rsidRPr="00041E2E">
        <w:rPr>
          <w:rFonts w:ascii="Bookman Old Style" w:hAnsi="Bookman Old Style"/>
          <w:b/>
          <w:bCs/>
        </w:rPr>
        <w:t>in commento</w:t>
      </w:r>
      <w:r w:rsidR="00D34765" w:rsidRPr="00041E2E">
        <w:rPr>
          <w:rFonts w:ascii="Bookman Old Style" w:hAnsi="Bookman Old Style"/>
          <w:b/>
          <w:bCs/>
        </w:rPr>
        <w:t xml:space="preserve"> </w:t>
      </w:r>
      <w:r w:rsidR="00004AB4" w:rsidRPr="00041E2E">
        <w:rPr>
          <w:rFonts w:ascii="Bookman Old Style" w:hAnsi="Bookman Old Style"/>
          <w:b/>
          <w:bCs/>
        </w:rPr>
        <w:t>in cui</w:t>
      </w:r>
      <w:r w:rsidR="00DC2D4D" w:rsidRPr="00041E2E">
        <w:rPr>
          <w:rFonts w:ascii="Bookman Old Style" w:hAnsi="Bookman Old Style"/>
          <w:b/>
          <w:bCs/>
        </w:rPr>
        <w:t>,</w:t>
      </w:r>
      <w:r w:rsidR="000B7BFB" w:rsidRPr="00041E2E">
        <w:rPr>
          <w:rFonts w:ascii="Bookman Old Style" w:hAnsi="Bookman Old Style"/>
          <w:b/>
          <w:bCs/>
        </w:rPr>
        <w:t xml:space="preserve"> per l’anno 2025, </w:t>
      </w:r>
      <w:r w:rsidR="00D34765" w:rsidRPr="00041E2E">
        <w:rPr>
          <w:rFonts w:ascii="Bookman Old Style" w:hAnsi="Bookman Old Style"/>
          <w:b/>
          <w:bCs/>
        </w:rPr>
        <w:t xml:space="preserve">è prevista </w:t>
      </w:r>
      <w:r w:rsidR="00EA797D" w:rsidRPr="00041E2E">
        <w:rPr>
          <w:rFonts w:ascii="Bookman Old Style" w:hAnsi="Bookman Old Style"/>
          <w:b/>
          <w:bCs/>
        </w:rPr>
        <w:t xml:space="preserve">una fase transitoria </w:t>
      </w:r>
      <w:r w:rsidR="00157475" w:rsidRPr="00041E2E">
        <w:rPr>
          <w:rFonts w:ascii="Bookman Old Style" w:hAnsi="Bookman Old Style"/>
          <w:b/>
          <w:bCs/>
        </w:rPr>
        <w:t>per l’</w:t>
      </w:r>
      <w:r w:rsidR="00EA797D" w:rsidRPr="00041E2E">
        <w:rPr>
          <w:rFonts w:ascii="Bookman Old Style" w:hAnsi="Bookman Old Style"/>
          <w:b/>
          <w:bCs/>
        </w:rPr>
        <w:t>applicazione della nuova disciplina</w:t>
      </w:r>
      <w:r w:rsidR="00157475" w:rsidRPr="00041E2E">
        <w:rPr>
          <w:rFonts w:ascii="Bookman Old Style" w:hAnsi="Bookman Old Style"/>
          <w:b/>
          <w:bCs/>
        </w:rPr>
        <w:t xml:space="preserve"> della</w:t>
      </w:r>
      <w:r w:rsidR="00EA797D" w:rsidRPr="00041E2E">
        <w:rPr>
          <w:rFonts w:ascii="Bookman Old Style" w:hAnsi="Bookman Old Style"/>
          <w:b/>
          <w:bCs/>
        </w:rPr>
        <w:t xml:space="preserve"> </w:t>
      </w:r>
      <w:r w:rsidR="00157475" w:rsidRPr="00041E2E">
        <w:rPr>
          <w:rFonts w:ascii="Bookman Old Style" w:hAnsi="Bookman Old Style"/>
          <w:b/>
          <w:bCs/>
        </w:rPr>
        <w:t xml:space="preserve">mobilità </w:t>
      </w:r>
      <w:r w:rsidR="007C51E5" w:rsidRPr="007C51E5">
        <w:rPr>
          <w:rFonts w:ascii="Bookman Old Style" w:hAnsi="Bookman Old Style"/>
          <w:b/>
          <w:bCs/>
          <w:i/>
          <w:iCs/>
        </w:rPr>
        <w:t>de qua</w:t>
      </w:r>
      <w:r w:rsidR="00846239" w:rsidRPr="00041E2E">
        <w:rPr>
          <w:rFonts w:ascii="Bookman Old Style" w:hAnsi="Bookman Old Style"/>
          <w:b/>
          <w:bCs/>
        </w:rPr>
        <w:t>.</w:t>
      </w:r>
      <w:r w:rsidR="00157475" w:rsidRPr="00041E2E">
        <w:rPr>
          <w:rFonts w:ascii="Bookman Old Style" w:hAnsi="Bookman Old Style"/>
          <w:b/>
          <w:bCs/>
        </w:rPr>
        <w:t xml:space="preserve"> </w:t>
      </w:r>
    </w:p>
    <w:p w14:paraId="00C131F9" w14:textId="0CBD0FD7" w:rsidR="0068569B" w:rsidRDefault="007C51E5" w:rsidP="00006C06">
      <w:pPr>
        <w:jc w:val="both"/>
        <w:rPr>
          <w:rFonts w:ascii="Bookman Old Style" w:hAnsi="Bookman Old Style"/>
        </w:rPr>
      </w:pPr>
      <w:r w:rsidRPr="35C6A94A">
        <w:rPr>
          <w:rFonts w:ascii="Bookman Old Style" w:hAnsi="Bookman Old Style"/>
        </w:rPr>
        <w:lastRenderedPageBreak/>
        <w:t>Nel merito</w:t>
      </w:r>
      <w:r w:rsidR="00883C80" w:rsidRPr="35C6A94A">
        <w:rPr>
          <w:rFonts w:ascii="Bookman Old Style" w:hAnsi="Bookman Old Style"/>
        </w:rPr>
        <w:t xml:space="preserve"> poi, la</w:t>
      </w:r>
      <w:r w:rsidR="009727E2" w:rsidRPr="35C6A94A">
        <w:rPr>
          <w:rFonts w:ascii="Bookman Old Style" w:hAnsi="Bookman Old Style"/>
        </w:rPr>
        <w:t xml:space="preserve"> nuova disciplina supera </w:t>
      </w:r>
      <w:r w:rsidR="0039289E" w:rsidRPr="35C6A94A">
        <w:rPr>
          <w:rFonts w:ascii="Bookman Old Style" w:hAnsi="Bookman Old Style"/>
        </w:rPr>
        <w:t xml:space="preserve">l’obbligo generalizzato di </w:t>
      </w:r>
      <w:r w:rsidR="006138D3" w:rsidRPr="35C6A94A">
        <w:rPr>
          <w:rFonts w:ascii="Bookman Old Style" w:hAnsi="Bookman Old Style"/>
        </w:rPr>
        <w:t xml:space="preserve">bandire avvisi di mobilità, prevedendo che </w:t>
      </w:r>
      <w:r w:rsidR="007B7D3C" w:rsidRPr="35C6A94A">
        <w:rPr>
          <w:rFonts w:ascii="Bookman Old Style" w:hAnsi="Bookman Old Style"/>
        </w:rPr>
        <w:t>le amministrazioni destin</w:t>
      </w:r>
      <w:r w:rsidR="00883C80" w:rsidRPr="35C6A94A">
        <w:rPr>
          <w:rFonts w:ascii="Bookman Old Style" w:hAnsi="Bookman Old Style"/>
        </w:rPr>
        <w:t>i</w:t>
      </w:r>
      <w:r w:rsidR="007B7D3C" w:rsidRPr="35C6A94A">
        <w:rPr>
          <w:rFonts w:ascii="Bookman Old Style" w:hAnsi="Bookman Old Style"/>
        </w:rPr>
        <w:t>no alle procedure di mobilità</w:t>
      </w:r>
      <w:r w:rsidR="007B7D3C" w:rsidRPr="35C6A94A">
        <w:rPr>
          <w:rFonts w:ascii="Bookman Old Style" w:hAnsi="Bookman Old Style"/>
          <w:b/>
          <w:bCs/>
        </w:rPr>
        <w:t xml:space="preserve"> </w:t>
      </w:r>
      <w:r w:rsidR="00100316" w:rsidRPr="35C6A94A">
        <w:rPr>
          <w:rFonts w:ascii="Bookman Old Style" w:hAnsi="Bookman Old Style"/>
          <w:b/>
          <w:bCs/>
          <w:u w:val="single"/>
        </w:rPr>
        <w:t>non meno del</w:t>
      </w:r>
      <w:r w:rsidR="007B7D3C" w:rsidRPr="35C6A94A">
        <w:rPr>
          <w:rFonts w:ascii="Bookman Old Style" w:hAnsi="Bookman Old Style"/>
          <w:b/>
          <w:bCs/>
          <w:u w:val="single"/>
        </w:rPr>
        <w:t xml:space="preserve"> 15 per cento delle facoltà assunzionali</w:t>
      </w:r>
      <w:r w:rsidR="007B7D3C" w:rsidRPr="35C6A94A">
        <w:rPr>
          <w:rFonts w:ascii="Bookman Old Style" w:hAnsi="Bookman Old Style"/>
          <w:b/>
          <w:bCs/>
        </w:rPr>
        <w:t xml:space="preserve"> </w:t>
      </w:r>
      <w:r w:rsidR="007B7D3C" w:rsidRPr="35C6A94A">
        <w:rPr>
          <w:rFonts w:ascii="Bookman Old Style" w:hAnsi="Bookman Old Style"/>
        </w:rPr>
        <w:t xml:space="preserve">provvedendo, in via prioritaria, all’immissione in ruolo dei dipendenti provenienti da altre amministrazioni, in posizione di comando o di fuori ruolo, appartenenti alla stessa </w:t>
      </w:r>
      <w:r w:rsidRPr="35C6A94A">
        <w:rPr>
          <w:rFonts w:ascii="Bookman Old Style" w:hAnsi="Bookman Old Style"/>
        </w:rPr>
        <w:t>A</w:t>
      </w:r>
      <w:r w:rsidR="007B7D3C" w:rsidRPr="35C6A94A">
        <w:rPr>
          <w:rFonts w:ascii="Bookman Old Style" w:hAnsi="Bookman Old Style"/>
        </w:rPr>
        <w:t>rea funzionale, che facciano domanda di trasferimento nei ruoli delle amministrazioni in cui prestano servizio</w:t>
      </w:r>
      <w:r w:rsidR="00222AA8" w:rsidRPr="35C6A94A">
        <w:rPr>
          <w:rFonts w:ascii="Bookman Old Style" w:hAnsi="Bookman Old Style"/>
        </w:rPr>
        <w:t xml:space="preserve"> da almeno 12 mesi e che abbia</w:t>
      </w:r>
      <w:r w:rsidRPr="35C6A94A">
        <w:rPr>
          <w:rFonts w:ascii="Bookman Old Style" w:hAnsi="Bookman Old Style"/>
        </w:rPr>
        <w:t>no</w:t>
      </w:r>
      <w:r w:rsidR="00222AA8" w:rsidRPr="35C6A94A">
        <w:rPr>
          <w:rFonts w:ascii="Bookman Old Style" w:hAnsi="Bookman Old Style"/>
        </w:rPr>
        <w:t xml:space="preserve"> </w:t>
      </w:r>
      <w:r w:rsidR="00684E07" w:rsidRPr="35C6A94A">
        <w:rPr>
          <w:rFonts w:ascii="Bookman Old Style" w:hAnsi="Bookman Old Style"/>
        </w:rPr>
        <w:t>conseguito una valutazione della performance pienamente favorevole</w:t>
      </w:r>
      <w:r w:rsidR="007B7D3C" w:rsidRPr="35C6A94A">
        <w:rPr>
          <w:rFonts w:ascii="Bookman Old Style" w:hAnsi="Bookman Old Style"/>
        </w:rPr>
        <w:t>.</w:t>
      </w:r>
    </w:p>
    <w:p w14:paraId="092743C5" w14:textId="4D49396F" w:rsidR="00CF332C" w:rsidRPr="0084629D" w:rsidRDefault="00CF332C" w:rsidP="35C6A94A">
      <w:pPr>
        <w:jc w:val="both"/>
        <w:rPr>
          <w:rFonts w:ascii="Bookman Old Style" w:hAnsi="Bookman Old Style"/>
        </w:rPr>
      </w:pPr>
      <w:r w:rsidRPr="35C6A94A">
        <w:rPr>
          <w:rFonts w:ascii="Bookman Old Style" w:hAnsi="Bookman Old Style"/>
        </w:rPr>
        <w:t>In caso di mancata attivazione delle procedure di mobilità entro l’anno di riferimento, le facoltà assunzionali</w:t>
      </w:r>
      <w:r w:rsidR="00DF2A59" w:rsidRPr="35C6A94A">
        <w:rPr>
          <w:rFonts w:ascii="Bookman Old Style" w:hAnsi="Bookman Old Style"/>
        </w:rPr>
        <w:t>,</w:t>
      </w:r>
      <w:r w:rsidRPr="35C6A94A">
        <w:rPr>
          <w:rFonts w:ascii="Bookman Old Style" w:hAnsi="Bookman Old Style"/>
        </w:rPr>
        <w:t xml:space="preserve"> autorizzate per l’anno successivo</w:t>
      </w:r>
      <w:r w:rsidR="00DF2A59" w:rsidRPr="35C6A94A">
        <w:rPr>
          <w:rFonts w:ascii="Bookman Old Style" w:hAnsi="Bookman Old Style"/>
        </w:rPr>
        <w:t>,</w:t>
      </w:r>
      <w:r w:rsidRPr="35C6A94A">
        <w:rPr>
          <w:rFonts w:ascii="Bookman Old Style" w:hAnsi="Bookman Old Style"/>
        </w:rPr>
        <w:t xml:space="preserve"> sono ridotte del 15% e i comandi in essere presso l’amministrazione cessano alla scadenza del termine di 6 mesi dall’avvio delle procedure concorsuali. I comandi</w:t>
      </w:r>
      <w:r w:rsidR="00DF2A59" w:rsidRPr="35C6A94A">
        <w:rPr>
          <w:rFonts w:ascii="Bookman Old Style" w:hAnsi="Bookman Old Style"/>
        </w:rPr>
        <w:t>,</w:t>
      </w:r>
      <w:r w:rsidRPr="35C6A94A">
        <w:rPr>
          <w:rFonts w:ascii="Bookman Old Style" w:hAnsi="Bookman Old Style"/>
        </w:rPr>
        <w:t xml:space="preserve"> inoltre</w:t>
      </w:r>
      <w:r w:rsidR="00DF2A59" w:rsidRPr="35C6A94A">
        <w:rPr>
          <w:rFonts w:ascii="Bookman Old Style" w:hAnsi="Bookman Old Style"/>
        </w:rPr>
        <w:t>,</w:t>
      </w:r>
      <w:r w:rsidRPr="35C6A94A">
        <w:rPr>
          <w:rFonts w:ascii="Bookman Old Style" w:hAnsi="Bookman Old Style"/>
        </w:rPr>
        <w:t xml:space="preserve"> non potranno essere riattivati per diciotto mesi, nemmeno </w:t>
      </w:r>
      <w:r w:rsidR="002D6ACF" w:rsidRPr="35C6A94A">
        <w:rPr>
          <w:rFonts w:ascii="Bookman Old Style" w:hAnsi="Bookman Old Style"/>
        </w:rPr>
        <w:t xml:space="preserve">per il </w:t>
      </w:r>
      <w:r w:rsidR="00264220" w:rsidRPr="35C6A94A">
        <w:rPr>
          <w:rFonts w:ascii="Bookman Old Style" w:hAnsi="Bookman Old Style"/>
        </w:rPr>
        <w:t xml:space="preserve">personale </w:t>
      </w:r>
      <w:r w:rsidR="00EF1132" w:rsidRPr="35C6A94A">
        <w:rPr>
          <w:rFonts w:ascii="Bookman Old Style" w:hAnsi="Bookman Old Style"/>
        </w:rPr>
        <w:t>diverso da</w:t>
      </w:r>
      <w:r w:rsidRPr="35C6A94A">
        <w:rPr>
          <w:rFonts w:ascii="Bookman Old Style" w:hAnsi="Bookman Old Style"/>
        </w:rPr>
        <w:t xml:space="preserve"> quello cessato.</w:t>
      </w:r>
    </w:p>
    <w:p w14:paraId="6A36845C" w14:textId="7BEE1B16" w:rsidR="00CF332C" w:rsidRDefault="00CF332C" w:rsidP="00CF332C">
      <w:pPr>
        <w:jc w:val="both"/>
        <w:rPr>
          <w:rFonts w:ascii="Bookman Old Style" w:hAnsi="Bookman Old Style"/>
        </w:rPr>
      </w:pPr>
      <w:r w:rsidRPr="35C6A94A">
        <w:rPr>
          <w:rFonts w:ascii="Bookman Old Style" w:hAnsi="Bookman Old Style"/>
        </w:rPr>
        <w:t>In caso di avvio delle procedure di mobilità, il personale che non presen</w:t>
      </w:r>
      <w:r w:rsidR="00F3315D" w:rsidRPr="35C6A94A">
        <w:rPr>
          <w:rFonts w:ascii="Bookman Old Style" w:hAnsi="Bookman Old Style"/>
        </w:rPr>
        <w:t>t</w:t>
      </w:r>
      <w:r w:rsidRPr="35C6A94A">
        <w:rPr>
          <w:rFonts w:ascii="Bookman Old Style" w:hAnsi="Bookman Old Style"/>
        </w:rPr>
        <w:t xml:space="preserve">a istanza di partecipazione alla procedura cessa alla naturale scadenza e non </w:t>
      </w:r>
      <w:r w:rsidR="002D6ACF" w:rsidRPr="35C6A94A">
        <w:rPr>
          <w:rFonts w:ascii="Bookman Old Style" w:hAnsi="Bookman Old Style"/>
        </w:rPr>
        <w:t>potrà essere</w:t>
      </w:r>
      <w:r w:rsidRPr="35C6A94A">
        <w:rPr>
          <w:rFonts w:ascii="Bookman Old Style" w:hAnsi="Bookman Old Style"/>
        </w:rPr>
        <w:t xml:space="preserve"> ulteriormente comandato nemmeno presso Amministrazioni diverse per 18 mesi.</w:t>
      </w:r>
    </w:p>
    <w:p w14:paraId="0C6DA993" w14:textId="27438BCF" w:rsidR="004225AD" w:rsidRDefault="00B130CE" w:rsidP="00006C06">
      <w:pPr>
        <w:jc w:val="both"/>
        <w:rPr>
          <w:rFonts w:ascii="Bookman Old Style" w:hAnsi="Bookman Old Style"/>
          <w:b/>
          <w:bCs/>
        </w:rPr>
      </w:pPr>
      <w:r>
        <w:rPr>
          <w:rFonts w:ascii="Bookman Old Style" w:hAnsi="Bookman Old Style"/>
          <w:b/>
          <w:bCs/>
        </w:rPr>
        <w:t>Infine, a</w:t>
      </w:r>
      <w:r w:rsidR="34110ED7" w:rsidRPr="00DE1691">
        <w:rPr>
          <w:rFonts w:ascii="Bookman Old Style" w:hAnsi="Bookman Old Style"/>
          <w:b/>
          <w:bCs/>
        </w:rPr>
        <w:t>ccogliendo le richieste formulate dall’ANCI</w:t>
      </w:r>
      <w:r w:rsidR="34110ED7" w:rsidRPr="00DE1691">
        <w:rPr>
          <w:rFonts w:ascii="Bookman Old Style" w:hAnsi="Bookman Old Style"/>
        </w:rPr>
        <w:t xml:space="preserve"> per venire incontro alle esigenze dei Comuni di minori dimensioni, </w:t>
      </w:r>
      <w:r w:rsidR="00176E97">
        <w:rPr>
          <w:rFonts w:ascii="Bookman Old Style" w:hAnsi="Bookman Old Style"/>
        </w:rPr>
        <w:t>il Parlamento ha</w:t>
      </w:r>
      <w:r w:rsidR="34110ED7" w:rsidRPr="00DE1691">
        <w:rPr>
          <w:rFonts w:ascii="Bookman Old Style" w:hAnsi="Bookman Old Style"/>
        </w:rPr>
        <w:t xml:space="preserve"> approvato  due importanti correttivi a questa misura, specificando in particolare che la stessa non si applica agli enti locali con un </w:t>
      </w:r>
      <w:r w:rsidR="34110ED7" w:rsidRPr="00DE1691">
        <w:rPr>
          <w:rFonts w:ascii="Bookman Old Style" w:hAnsi="Bookman Old Style"/>
          <w:b/>
          <w:bCs/>
        </w:rPr>
        <w:t>numero di dipendenti a tempo indeterminato non superiore a 50</w:t>
      </w:r>
      <w:r w:rsidR="34110ED7" w:rsidRPr="00DE1691">
        <w:rPr>
          <w:rFonts w:ascii="Bookman Old Style" w:hAnsi="Bookman Old Style"/>
        </w:rPr>
        <w:t xml:space="preserve"> e chiarendo che l’obbligo di destinare una percentuale non inferiore al 15 per cento delle facoltà assunzionali si riferisce a </w:t>
      </w:r>
      <w:r w:rsidR="34110ED7" w:rsidRPr="00DE1691">
        <w:rPr>
          <w:rFonts w:ascii="Bookman Old Style" w:hAnsi="Bookman Old Style"/>
          <w:b/>
          <w:bCs/>
        </w:rPr>
        <w:t>quelle impegnate in ciascun esercizio finanziario</w:t>
      </w:r>
      <w:r w:rsidR="34110ED7" w:rsidRPr="00DE1691">
        <w:rPr>
          <w:rFonts w:ascii="Bookman Old Style" w:hAnsi="Bookman Old Style"/>
        </w:rPr>
        <w:t xml:space="preserve"> </w:t>
      </w:r>
      <w:r w:rsidR="34110ED7" w:rsidRPr="00DE1691">
        <w:rPr>
          <w:rFonts w:ascii="Bookman Old Style" w:hAnsi="Bookman Old Style"/>
          <w:b/>
          <w:bCs/>
        </w:rPr>
        <w:t>e riguard</w:t>
      </w:r>
      <w:r w:rsidR="00DE1691" w:rsidRPr="00DE1691">
        <w:rPr>
          <w:rFonts w:ascii="Bookman Old Style" w:hAnsi="Bookman Old Style"/>
          <w:b/>
          <w:bCs/>
        </w:rPr>
        <w:t>a</w:t>
      </w:r>
      <w:r w:rsidR="34110ED7" w:rsidRPr="00DE1691">
        <w:rPr>
          <w:rFonts w:ascii="Bookman Old Style" w:hAnsi="Bookman Old Style"/>
          <w:b/>
          <w:bCs/>
        </w:rPr>
        <w:t xml:space="preserve"> esclusivamente il caso in cui il piano assunzionale preveda un numero di assunzioni pari o superiore a 10 unità di personale.</w:t>
      </w:r>
    </w:p>
    <w:p w14:paraId="13FF91DA" w14:textId="77777777" w:rsidR="00A47B74" w:rsidRPr="005857F4" w:rsidRDefault="00A47B74" w:rsidP="00A47B74">
      <w:pPr>
        <w:jc w:val="both"/>
        <w:rPr>
          <w:rFonts w:ascii="Bookman Old Style" w:hAnsi="Bookman Old Style"/>
          <w:b/>
          <w:bCs/>
        </w:rPr>
      </w:pPr>
      <w:r w:rsidRPr="005857F4">
        <w:rPr>
          <w:rFonts w:ascii="Bookman Old Style" w:hAnsi="Bookman Old Style"/>
          <w:b/>
          <w:bCs/>
        </w:rPr>
        <w:t>(Art. 3, comma 2)</w:t>
      </w:r>
    </w:p>
    <w:p w14:paraId="4E8B0E38" w14:textId="78887B47" w:rsidR="00A47B74" w:rsidRDefault="00A47B74" w:rsidP="00A47B74">
      <w:pPr>
        <w:jc w:val="both"/>
        <w:rPr>
          <w:rFonts w:ascii="Bookman Old Style" w:hAnsi="Bookman Old Style"/>
        </w:rPr>
      </w:pPr>
      <w:r w:rsidRPr="0084629D">
        <w:rPr>
          <w:rFonts w:ascii="Bookman Old Style" w:hAnsi="Bookman Old Style"/>
        </w:rPr>
        <w:t>Il comma 2 dell’art.3 prevede che, per l’anno 2025,   fase  di   prima   applicazione   delle disposizioni  di  cui  all'articolo  30,  comma  2-bis,  del  decreto legislativo 30 marzo 2001, n. 165 così come sopra modificato dal c.1,  le  amministrazioni</w:t>
      </w:r>
      <w:r w:rsidR="00FC0BDF">
        <w:rPr>
          <w:rFonts w:ascii="Bookman Old Style" w:hAnsi="Bookman Old Style"/>
        </w:rPr>
        <w:t xml:space="preserve"> locali</w:t>
      </w:r>
      <w:r>
        <w:rPr>
          <w:rFonts w:ascii="Bookman Old Style" w:hAnsi="Bookman Old Style"/>
        </w:rPr>
        <w:t>, nei limiti delle facoltà assunzionali autorizzate a legislazione vigente,</w:t>
      </w:r>
      <w:r w:rsidRPr="0084629D">
        <w:rPr>
          <w:rFonts w:ascii="Bookman Old Style" w:hAnsi="Bookman Old Style"/>
        </w:rPr>
        <w:t xml:space="preserve"> inquadrano </w:t>
      </w:r>
      <w:r w:rsidR="007F3DAD">
        <w:rPr>
          <w:rFonts w:ascii="Bookman Old Style" w:hAnsi="Bookman Old Style"/>
        </w:rPr>
        <w:t>nei pro</w:t>
      </w:r>
      <w:r w:rsidR="00FC0BDF">
        <w:rPr>
          <w:rFonts w:ascii="Bookman Old Style" w:hAnsi="Bookman Old Style"/>
        </w:rPr>
        <w:t>pri ruoli</w:t>
      </w:r>
      <w:r w:rsidRPr="0084629D">
        <w:rPr>
          <w:rFonts w:ascii="Bookman Old Style" w:hAnsi="Bookman Old Style"/>
        </w:rPr>
        <w:t xml:space="preserve"> il personale proveniente da altre amministrazioni</w:t>
      </w:r>
      <w:r w:rsidR="00FC0BDF">
        <w:rPr>
          <w:rFonts w:ascii="Bookman Old Style" w:hAnsi="Bookman Old Style"/>
        </w:rPr>
        <w:t>,</w:t>
      </w:r>
      <w:r w:rsidRPr="0084629D">
        <w:rPr>
          <w:rFonts w:ascii="Bookman Old Style" w:hAnsi="Bookman Old Style"/>
        </w:rPr>
        <w:t xml:space="preserve"> che  ne  abbia  fatto richiesta</w:t>
      </w:r>
      <w:r w:rsidR="009B2408">
        <w:rPr>
          <w:rFonts w:ascii="Bookman Old Style" w:hAnsi="Bookman Old Style"/>
        </w:rPr>
        <w:t>,</w:t>
      </w:r>
      <w:r w:rsidRPr="0084629D">
        <w:rPr>
          <w:rFonts w:ascii="Bookman Old Style" w:hAnsi="Bookman Old Style"/>
        </w:rPr>
        <w:t xml:space="preserve"> si trovi in posizione di comando e abbia maturato, in tali posizioni, almeno dodici  mesi  di  servizio  </w:t>
      </w:r>
      <w:r w:rsidR="00A20440">
        <w:rPr>
          <w:rFonts w:ascii="Bookman Old Style" w:hAnsi="Bookman Old Style"/>
        </w:rPr>
        <w:t>conseguendo</w:t>
      </w:r>
      <w:r w:rsidRPr="0084629D">
        <w:rPr>
          <w:rFonts w:ascii="Bookman Old Style" w:hAnsi="Bookman Old Style"/>
        </w:rPr>
        <w:t xml:space="preserve">  una valutazione della performance pienamente  favorevole. In caso di mancata attivazione della apposita procedura di </w:t>
      </w:r>
      <w:r w:rsidRPr="00070E33">
        <w:rPr>
          <w:rFonts w:ascii="Bookman Old Style" w:hAnsi="Bookman Old Style"/>
        </w:rPr>
        <w:t>mobilità</w:t>
      </w:r>
      <w:r w:rsidRPr="0084629D">
        <w:rPr>
          <w:rFonts w:ascii="Bookman Old Style" w:hAnsi="Bookman Old Style"/>
        </w:rPr>
        <w:t xml:space="preserve"> entro l’anno 2025, i comandi in   essere   presso l’amministrazione interessata cessano alla naturale scadenza   e comunque </w:t>
      </w:r>
      <w:r w:rsidRPr="00DD184E">
        <w:rPr>
          <w:rFonts w:ascii="Bookman Old Style" w:hAnsi="Bookman Old Style"/>
          <w:b/>
          <w:u w:val="single"/>
        </w:rPr>
        <w:t>non oltre il 30 aprile 2026</w:t>
      </w:r>
      <w:r w:rsidRPr="0084629D">
        <w:rPr>
          <w:rFonts w:ascii="Bookman Old Style" w:hAnsi="Bookman Old Style"/>
        </w:rPr>
        <w:t xml:space="preserve"> e non possono essere riattivati per diciotto mesi, nemmeno per personale diverso da quello cessato.</w:t>
      </w:r>
    </w:p>
    <w:p w14:paraId="53DE3451" w14:textId="77777777" w:rsidR="003242EA" w:rsidRPr="003242EA" w:rsidRDefault="003242EA" w:rsidP="00006C06">
      <w:pPr>
        <w:jc w:val="both"/>
        <w:rPr>
          <w:rFonts w:ascii="Bookman Old Style" w:hAnsi="Bookman Old Style"/>
          <w:b/>
          <w:bCs/>
        </w:rPr>
      </w:pPr>
    </w:p>
    <w:p w14:paraId="38D5160C" w14:textId="386881A5" w:rsidR="003A13B8" w:rsidRPr="000A3F93" w:rsidRDefault="00C6734D" w:rsidP="003A13B8">
      <w:pPr>
        <w:pStyle w:val="Paragrafoelenco"/>
        <w:numPr>
          <w:ilvl w:val="0"/>
          <w:numId w:val="1"/>
        </w:numPr>
        <w:jc w:val="both"/>
        <w:rPr>
          <w:rFonts w:ascii="Bookman Old Style" w:hAnsi="Bookman Old Style"/>
          <w:b/>
          <w:bCs/>
        </w:rPr>
      </w:pPr>
      <w:r w:rsidRPr="000A3F93">
        <w:rPr>
          <w:rFonts w:ascii="Bookman Old Style" w:hAnsi="Bookman Old Style"/>
          <w:b/>
          <w:bCs/>
        </w:rPr>
        <w:t>Reclutamento dei dirigenti</w:t>
      </w:r>
      <w:r w:rsidR="00C346A5">
        <w:rPr>
          <w:rFonts w:ascii="Bookman Old Style" w:hAnsi="Bookman Old Style"/>
          <w:b/>
          <w:bCs/>
        </w:rPr>
        <w:t xml:space="preserve"> dello Stato</w:t>
      </w:r>
      <w:r w:rsidR="003A13B8" w:rsidRPr="000A3F93">
        <w:rPr>
          <w:rFonts w:ascii="Bookman Old Style" w:hAnsi="Bookman Old Style"/>
          <w:b/>
          <w:bCs/>
        </w:rPr>
        <w:t xml:space="preserve"> (Art. 3</w:t>
      </w:r>
      <w:r w:rsidR="003A13B8" w:rsidRPr="000A3F93">
        <w:rPr>
          <w:rFonts w:ascii="Bookman Old Style" w:hAnsi="Bookman Old Style" w:cs="Aptos"/>
          <w:b/>
          <w:kern w:val="0"/>
          <w14:ligatures w14:val="none"/>
        </w:rPr>
        <w:t>, comma 1, lettera d)</w:t>
      </w:r>
      <w:r w:rsidR="0028467C">
        <w:rPr>
          <w:rFonts w:ascii="Bookman Old Style" w:hAnsi="Bookman Old Style" w:cs="Aptos"/>
          <w:b/>
          <w:kern w:val="0"/>
          <w14:ligatures w14:val="none"/>
        </w:rPr>
        <w:t xml:space="preserve"> punto 1</w:t>
      </w:r>
      <w:r w:rsidR="003A13B8" w:rsidRPr="000A3F93">
        <w:rPr>
          <w:rFonts w:ascii="Bookman Old Style" w:hAnsi="Bookman Old Style" w:cs="Aptos"/>
          <w:b/>
          <w:kern w:val="0"/>
          <w14:ligatures w14:val="none"/>
        </w:rPr>
        <w:t>)</w:t>
      </w:r>
    </w:p>
    <w:p w14:paraId="6C18D7C2" w14:textId="42749F49" w:rsidR="004270F6" w:rsidRDefault="00551821" w:rsidP="00006C06">
      <w:pPr>
        <w:jc w:val="both"/>
        <w:rPr>
          <w:rFonts w:ascii="Bookman Old Style" w:hAnsi="Bookman Old Style"/>
        </w:rPr>
      </w:pPr>
      <w:r w:rsidRPr="000A3F93">
        <w:rPr>
          <w:rFonts w:ascii="Bookman Old Style" w:hAnsi="Bookman Old Style"/>
        </w:rPr>
        <w:t>Con l’inserimento dei nuovi</w:t>
      </w:r>
      <w:r w:rsidR="00EE61EA" w:rsidRPr="000A3F93">
        <w:rPr>
          <w:rFonts w:ascii="Bookman Old Style" w:hAnsi="Bookman Old Style"/>
        </w:rPr>
        <w:t xml:space="preserve"> commi da 4-ter a </w:t>
      </w:r>
      <w:r w:rsidR="00571E2F" w:rsidRPr="000A3F93">
        <w:rPr>
          <w:rFonts w:ascii="Bookman Old Style" w:hAnsi="Bookman Old Style"/>
        </w:rPr>
        <w:t xml:space="preserve">4-octies dell’art. 35 del </w:t>
      </w:r>
      <w:proofErr w:type="spellStart"/>
      <w:r w:rsidR="00571E2F" w:rsidRPr="000A3F93">
        <w:rPr>
          <w:rFonts w:ascii="Bookman Old Style" w:hAnsi="Bookman Old Style"/>
        </w:rPr>
        <w:t>D.Lgs.</w:t>
      </w:r>
      <w:proofErr w:type="spellEnd"/>
      <w:r w:rsidR="00571E2F" w:rsidRPr="000A3F93">
        <w:rPr>
          <w:rFonts w:ascii="Bookman Old Style" w:hAnsi="Bookman Old Style"/>
        </w:rPr>
        <w:t xml:space="preserve"> n. 165/2001 vengono ridefinite le modalità di reclutamento dei dirigenti </w:t>
      </w:r>
      <w:r w:rsidR="00B97272" w:rsidRPr="000A3F93">
        <w:rPr>
          <w:rFonts w:ascii="Bookman Old Style" w:hAnsi="Bookman Old Style"/>
        </w:rPr>
        <w:t xml:space="preserve">dello Stato, delle agenzie e degli enti pubblici </w:t>
      </w:r>
      <w:r w:rsidR="00C01FEB" w:rsidRPr="000A3F93">
        <w:rPr>
          <w:rFonts w:ascii="Bookman Old Style" w:hAnsi="Bookman Old Style"/>
        </w:rPr>
        <w:t xml:space="preserve">non economici. </w:t>
      </w:r>
      <w:r w:rsidR="00B82BF5">
        <w:rPr>
          <w:rFonts w:ascii="Bookman Old Style" w:hAnsi="Bookman Old Style"/>
        </w:rPr>
        <w:t>P</w:t>
      </w:r>
      <w:r w:rsidR="00C01FEB" w:rsidRPr="000A3F93">
        <w:rPr>
          <w:rFonts w:ascii="Bookman Old Style" w:hAnsi="Bookman Old Style"/>
        </w:rPr>
        <w:t xml:space="preserve">er Comuni e </w:t>
      </w:r>
      <w:r w:rsidR="00B82BF5">
        <w:rPr>
          <w:rFonts w:ascii="Bookman Old Style" w:hAnsi="Bookman Old Style"/>
        </w:rPr>
        <w:t xml:space="preserve">le </w:t>
      </w:r>
      <w:r w:rsidR="00C01FEB" w:rsidRPr="000A3F93">
        <w:rPr>
          <w:rFonts w:ascii="Bookman Old Style" w:hAnsi="Bookman Old Style"/>
        </w:rPr>
        <w:t xml:space="preserve">Città metropolitane </w:t>
      </w:r>
      <w:r w:rsidR="00B82BF5">
        <w:rPr>
          <w:rFonts w:ascii="Bookman Old Style" w:hAnsi="Bookman Old Style"/>
        </w:rPr>
        <w:t xml:space="preserve">rimane la </w:t>
      </w:r>
      <w:r w:rsidR="00A16F67">
        <w:rPr>
          <w:rFonts w:ascii="Bookman Old Style" w:hAnsi="Bookman Old Style"/>
        </w:rPr>
        <w:t>mera</w:t>
      </w:r>
      <w:r w:rsidR="00C346A5">
        <w:rPr>
          <w:rFonts w:ascii="Bookman Old Style" w:hAnsi="Bookman Old Style"/>
        </w:rPr>
        <w:t xml:space="preserve"> facoltà</w:t>
      </w:r>
      <w:r w:rsidR="00C01FEB" w:rsidRPr="000A3F93">
        <w:rPr>
          <w:rFonts w:ascii="Bookman Old Style" w:hAnsi="Bookman Old Style"/>
        </w:rPr>
        <w:t xml:space="preserve"> </w:t>
      </w:r>
      <w:r w:rsidR="003D512D">
        <w:rPr>
          <w:rFonts w:ascii="Bookman Old Style" w:hAnsi="Bookman Old Style"/>
        </w:rPr>
        <w:t xml:space="preserve">di </w:t>
      </w:r>
      <w:r w:rsidR="002D6ACF" w:rsidRPr="000A3F93">
        <w:rPr>
          <w:rFonts w:ascii="Bookman Old Style" w:hAnsi="Bookman Old Style"/>
        </w:rPr>
        <w:t>rivolgersi</w:t>
      </w:r>
      <w:r w:rsidR="00CC4032">
        <w:rPr>
          <w:rFonts w:ascii="Bookman Old Style" w:hAnsi="Bookman Old Style"/>
        </w:rPr>
        <w:t>,</w:t>
      </w:r>
      <w:r w:rsidR="002D6ACF" w:rsidRPr="000A3F93">
        <w:rPr>
          <w:rFonts w:ascii="Bookman Old Style" w:hAnsi="Bookman Old Style"/>
        </w:rPr>
        <w:t xml:space="preserve"> per</w:t>
      </w:r>
      <w:r w:rsidR="00835F22" w:rsidRPr="000A3F93">
        <w:rPr>
          <w:rFonts w:ascii="Bookman Old Style" w:hAnsi="Bookman Old Style"/>
        </w:rPr>
        <w:t xml:space="preserve"> lo svolgimento delle proprie procedure concorsuali </w:t>
      </w:r>
      <w:r w:rsidR="00E450B1" w:rsidRPr="000A3F93">
        <w:rPr>
          <w:rFonts w:ascii="Bookman Old Style" w:hAnsi="Bookman Old Style"/>
        </w:rPr>
        <w:t>riferite al personale dirigenziale</w:t>
      </w:r>
      <w:r w:rsidR="00CC4032">
        <w:rPr>
          <w:rFonts w:ascii="Bookman Old Style" w:hAnsi="Bookman Old Style"/>
        </w:rPr>
        <w:t>,</w:t>
      </w:r>
      <w:r w:rsidR="00E450B1" w:rsidRPr="000A3F93">
        <w:rPr>
          <w:rFonts w:ascii="Bookman Old Style" w:hAnsi="Bookman Old Style"/>
        </w:rPr>
        <w:t xml:space="preserve"> </w:t>
      </w:r>
      <w:r w:rsidR="00835F22" w:rsidRPr="000A3F93">
        <w:rPr>
          <w:rFonts w:ascii="Bookman Old Style" w:hAnsi="Bookman Old Style"/>
        </w:rPr>
        <w:t>al Dipartimento della funzione pubblica e avvalersi della Commissione per l’attuazione del Progetto di Riqualificazione delle Pubbliche Amministrazioni (RIPAM)</w:t>
      </w:r>
      <w:r w:rsidR="009D2EDB" w:rsidRPr="000A3F93">
        <w:rPr>
          <w:rFonts w:ascii="Bookman Old Style" w:hAnsi="Bookman Old Style"/>
        </w:rPr>
        <w:t>.</w:t>
      </w:r>
    </w:p>
    <w:p w14:paraId="5C3A4C5D" w14:textId="77777777" w:rsidR="003242EA" w:rsidRPr="003242EA" w:rsidRDefault="003242EA" w:rsidP="00006C06">
      <w:pPr>
        <w:jc w:val="both"/>
        <w:rPr>
          <w:rFonts w:ascii="Bookman Old Style" w:hAnsi="Bookman Old Style"/>
        </w:rPr>
      </w:pPr>
    </w:p>
    <w:p w14:paraId="5AF19AAA" w14:textId="61F56BA0" w:rsidR="0028467C" w:rsidRPr="0028467C" w:rsidRDefault="004270F6" w:rsidP="0028467C">
      <w:pPr>
        <w:pStyle w:val="Paragrafoelenco"/>
        <w:numPr>
          <w:ilvl w:val="0"/>
          <w:numId w:val="1"/>
        </w:numPr>
        <w:jc w:val="both"/>
        <w:rPr>
          <w:rFonts w:ascii="Bookman Old Style" w:hAnsi="Bookman Old Style"/>
          <w:b/>
          <w:bCs/>
        </w:rPr>
      </w:pPr>
      <w:r w:rsidRPr="0028467C">
        <w:rPr>
          <w:rFonts w:ascii="Bookman Old Style" w:hAnsi="Bookman Old Style"/>
          <w:b/>
          <w:bCs/>
        </w:rPr>
        <w:lastRenderedPageBreak/>
        <w:t>Vigenza delle graduatorie concorsuali degli Enti locali</w:t>
      </w:r>
      <w:r w:rsidR="0028467C">
        <w:rPr>
          <w:rFonts w:ascii="Bookman Old Style" w:hAnsi="Bookman Old Style"/>
          <w:b/>
          <w:bCs/>
        </w:rPr>
        <w:t xml:space="preserve"> </w:t>
      </w:r>
      <w:r w:rsidR="0028467C" w:rsidRPr="0028467C">
        <w:rPr>
          <w:rFonts w:ascii="Bookman Old Style" w:hAnsi="Bookman Old Style"/>
          <w:b/>
          <w:bCs/>
        </w:rPr>
        <w:t>(Art. 3</w:t>
      </w:r>
      <w:r w:rsidR="0028467C" w:rsidRPr="0028467C">
        <w:rPr>
          <w:rFonts w:ascii="Bookman Old Style" w:hAnsi="Bookman Old Style" w:cs="Aptos"/>
          <w:b/>
          <w:kern w:val="0"/>
          <w14:ligatures w14:val="none"/>
        </w:rPr>
        <w:t xml:space="preserve">, comma 1, lettera d) punto </w:t>
      </w:r>
      <w:r w:rsidR="001C27D6">
        <w:rPr>
          <w:rFonts w:ascii="Bookman Old Style" w:hAnsi="Bookman Old Style" w:cs="Aptos"/>
          <w:b/>
          <w:kern w:val="0"/>
          <w14:ligatures w14:val="none"/>
        </w:rPr>
        <w:t>3</w:t>
      </w:r>
      <w:r w:rsidR="00053940">
        <w:rPr>
          <w:rFonts w:ascii="Bookman Old Style" w:hAnsi="Bookman Old Style" w:cs="Aptos"/>
          <w:b/>
          <w:kern w:val="0"/>
          <w14:ligatures w14:val="none"/>
        </w:rPr>
        <w:t>.1</w:t>
      </w:r>
      <w:r w:rsidR="0028467C" w:rsidRPr="0028467C">
        <w:rPr>
          <w:rFonts w:ascii="Bookman Old Style" w:hAnsi="Bookman Old Style" w:cs="Aptos"/>
          <w:b/>
          <w:kern w:val="0"/>
          <w14:ligatures w14:val="none"/>
        </w:rPr>
        <w:t>)</w:t>
      </w:r>
    </w:p>
    <w:p w14:paraId="7A5FF44F" w14:textId="73AD40F4" w:rsidR="003242EA" w:rsidRDefault="007A7302" w:rsidP="00006C06">
      <w:pPr>
        <w:jc w:val="both"/>
        <w:rPr>
          <w:rFonts w:ascii="Bookman Old Style" w:hAnsi="Bookman Old Style"/>
          <w:b/>
          <w:bCs/>
          <w:u w:val="single"/>
        </w:rPr>
      </w:pPr>
      <w:r w:rsidRPr="001C27D6">
        <w:rPr>
          <w:rFonts w:ascii="Bookman Old Style" w:hAnsi="Bookman Old Style"/>
        </w:rPr>
        <w:t xml:space="preserve">Con le modifiche introdotte al secondo periodo del comma 5-ter </w:t>
      </w:r>
      <w:r w:rsidR="00E47106" w:rsidRPr="001C27D6">
        <w:rPr>
          <w:rFonts w:ascii="Bookman Old Style" w:hAnsi="Bookman Old Style"/>
        </w:rPr>
        <w:t xml:space="preserve">dell’art. 35 </w:t>
      </w:r>
      <w:r w:rsidR="005227F7" w:rsidRPr="001C27D6">
        <w:rPr>
          <w:rFonts w:ascii="Bookman Old Style" w:hAnsi="Bookman Old Style"/>
        </w:rPr>
        <w:t xml:space="preserve">del </w:t>
      </w:r>
      <w:proofErr w:type="spellStart"/>
      <w:r w:rsidR="005227F7" w:rsidRPr="001C27D6">
        <w:rPr>
          <w:rFonts w:ascii="Bookman Old Style" w:hAnsi="Bookman Old Style"/>
        </w:rPr>
        <w:t>D.Lgs.</w:t>
      </w:r>
      <w:proofErr w:type="spellEnd"/>
      <w:r w:rsidR="005227F7" w:rsidRPr="001C27D6">
        <w:rPr>
          <w:rFonts w:ascii="Bookman Old Style" w:hAnsi="Bookman Old Style"/>
        </w:rPr>
        <w:t xml:space="preserve"> n. 165/2001 si </w:t>
      </w:r>
      <w:r w:rsidR="00640BDC" w:rsidRPr="001C27D6">
        <w:rPr>
          <w:rFonts w:ascii="Bookman Old Style" w:hAnsi="Bookman Old Style"/>
        </w:rPr>
        <w:t xml:space="preserve">dispone il ripristino della </w:t>
      </w:r>
      <w:r w:rsidR="00640BDC" w:rsidRPr="003F681E">
        <w:rPr>
          <w:rFonts w:ascii="Bookman Old Style" w:hAnsi="Bookman Old Style"/>
          <w:b/>
          <w:bCs/>
          <w:u w:val="single"/>
        </w:rPr>
        <w:t>durata triennale</w:t>
      </w:r>
      <w:r w:rsidR="00640BDC" w:rsidRPr="001C27D6">
        <w:rPr>
          <w:rFonts w:ascii="Bookman Old Style" w:hAnsi="Bookman Old Style"/>
        </w:rPr>
        <w:t xml:space="preserve"> delle </w:t>
      </w:r>
      <w:r w:rsidR="00640BDC" w:rsidRPr="002D6ACF">
        <w:rPr>
          <w:rFonts w:ascii="Bookman Old Style" w:hAnsi="Bookman Old Style"/>
          <w:b/>
          <w:bCs/>
        </w:rPr>
        <w:t>g</w:t>
      </w:r>
      <w:r w:rsidR="00640BDC" w:rsidRPr="002D6ACF">
        <w:rPr>
          <w:rFonts w:ascii="Bookman Old Style" w:hAnsi="Bookman Old Style"/>
          <w:b/>
          <w:bCs/>
          <w:u w:val="single"/>
        </w:rPr>
        <w:t>raduatorie</w:t>
      </w:r>
      <w:r w:rsidR="00640BDC" w:rsidRPr="003F681E">
        <w:rPr>
          <w:rFonts w:ascii="Bookman Old Style" w:hAnsi="Bookman Old Style"/>
          <w:b/>
          <w:bCs/>
          <w:u w:val="single"/>
        </w:rPr>
        <w:t xml:space="preserve"> concorsuali degli enti locali ai sensi dell’</w:t>
      </w:r>
      <w:r w:rsidR="0038060C" w:rsidRPr="003F681E">
        <w:rPr>
          <w:rFonts w:ascii="Bookman Old Style" w:hAnsi="Bookman Old Style"/>
          <w:b/>
          <w:bCs/>
          <w:u w:val="single"/>
        </w:rPr>
        <w:t>art. 91 TUEL.</w:t>
      </w:r>
    </w:p>
    <w:p w14:paraId="16B9CFBD" w14:textId="77777777" w:rsidR="003242EA" w:rsidRPr="003F681E" w:rsidRDefault="003242EA" w:rsidP="00006C06">
      <w:pPr>
        <w:jc w:val="both"/>
        <w:rPr>
          <w:rFonts w:ascii="Bookman Old Style" w:hAnsi="Bookman Old Style"/>
          <w:b/>
          <w:bCs/>
          <w:u w:val="single"/>
        </w:rPr>
      </w:pPr>
    </w:p>
    <w:p w14:paraId="0139E68E" w14:textId="1280325D" w:rsidR="001C27D6" w:rsidRPr="0028467C" w:rsidRDefault="006C4C63" w:rsidP="001C27D6">
      <w:pPr>
        <w:pStyle w:val="Paragrafoelenco"/>
        <w:numPr>
          <w:ilvl w:val="0"/>
          <w:numId w:val="1"/>
        </w:numPr>
        <w:jc w:val="both"/>
        <w:rPr>
          <w:rFonts w:ascii="Bookman Old Style" w:hAnsi="Bookman Old Style"/>
          <w:b/>
          <w:bCs/>
        </w:rPr>
      </w:pPr>
      <w:r w:rsidRPr="0096243E">
        <w:rPr>
          <w:rFonts w:ascii="Bookman Old Style" w:hAnsi="Bookman Old Style"/>
          <w:b/>
          <w:bCs/>
        </w:rPr>
        <w:t>Scorrimento delle graduatorie concorsuali</w:t>
      </w:r>
      <w:r w:rsidR="001C27D6" w:rsidRPr="0096243E">
        <w:rPr>
          <w:rFonts w:ascii="Bookman Old Style" w:hAnsi="Bookman Old Style"/>
          <w:b/>
          <w:bCs/>
        </w:rPr>
        <w:t xml:space="preserve"> (Art.</w:t>
      </w:r>
      <w:r w:rsidR="001C27D6" w:rsidRPr="0028467C">
        <w:rPr>
          <w:rFonts w:ascii="Bookman Old Style" w:hAnsi="Bookman Old Style"/>
          <w:b/>
          <w:bCs/>
        </w:rPr>
        <w:t xml:space="preserve"> 3</w:t>
      </w:r>
      <w:r w:rsidR="001C27D6" w:rsidRPr="0028467C">
        <w:rPr>
          <w:rFonts w:ascii="Bookman Old Style" w:hAnsi="Bookman Old Style" w:cs="Aptos"/>
          <w:b/>
          <w:kern w:val="0"/>
          <w14:ligatures w14:val="none"/>
        </w:rPr>
        <w:t xml:space="preserve">, comma 1, lettera d) punto </w:t>
      </w:r>
      <w:r w:rsidR="001C27D6">
        <w:rPr>
          <w:rFonts w:ascii="Bookman Old Style" w:hAnsi="Bookman Old Style" w:cs="Aptos"/>
          <w:b/>
          <w:kern w:val="0"/>
          <w14:ligatures w14:val="none"/>
        </w:rPr>
        <w:t>3</w:t>
      </w:r>
      <w:r w:rsidR="0096243E">
        <w:rPr>
          <w:rFonts w:ascii="Bookman Old Style" w:hAnsi="Bookman Old Style" w:cs="Aptos"/>
          <w:b/>
          <w:kern w:val="0"/>
          <w14:ligatures w14:val="none"/>
        </w:rPr>
        <w:t>.2</w:t>
      </w:r>
      <w:r w:rsidR="001C27D6" w:rsidRPr="0028467C">
        <w:rPr>
          <w:rFonts w:ascii="Bookman Old Style" w:hAnsi="Bookman Old Style" w:cs="Aptos"/>
          <w:b/>
          <w:kern w:val="0"/>
          <w14:ligatures w14:val="none"/>
        </w:rPr>
        <w:t>)</w:t>
      </w:r>
    </w:p>
    <w:p w14:paraId="5F83C3B7" w14:textId="3AC6092C" w:rsidR="003C4166" w:rsidRPr="007A142B" w:rsidRDefault="003C4166" w:rsidP="00006C06">
      <w:pPr>
        <w:jc w:val="both"/>
        <w:rPr>
          <w:rFonts w:ascii="Bookman Old Style" w:hAnsi="Bookman Old Style"/>
        </w:rPr>
      </w:pPr>
      <w:r w:rsidRPr="0096243E">
        <w:rPr>
          <w:rFonts w:ascii="Bookman Old Style" w:hAnsi="Bookman Old Style"/>
        </w:rPr>
        <w:t xml:space="preserve">La riformulazione </w:t>
      </w:r>
      <w:r w:rsidR="005A6F38" w:rsidRPr="0096243E">
        <w:rPr>
          <w:rFonts w:ascii="Bookman Old Style" w:hAnsi="Bookman Old Style"/>
        </w:rPr>
        <w:t xml:space="preserve">del quinto periodo del comma 5-ter dell’art. 35 del </w:t>
      </w:r>
      <w:proofErr w:type="spellStart"/>
      <w:r w:rsidR="005A6F38" w:rsidRPr="0096243E">
        <w:rPr>
          <w:rFonts w:ascii="Bookman Old Style" w:hAnsi="Bookman Old Style"/>
        </w:rPr>
        <w:t>D.Lgs.</w:t>
      </w:r>
      <w:proofErr w:type="spellEnd"/>
      <w:r w:rsidR="005A6F38" w:rsidRPr="0096243E">
        <w:rPr>
          <w:rFonts w:ascii="Bookman Old Style" w:hAnsi="Bookman Old Style"/>
        </w:rPr>
        <w:t xml:space="preserve"> n. 165/2001 chiarisce o</w:t>
      </w:r>
      <w:r w:rsidR="00FE4847" w:rsidRPr="0096243E">
        <w:rPr>
          <w:rFonts w:ascii="Bookman Old Style" w:hAnsi="Bookman Old Style"/>
        </w:rPr>
        <w:t xml:space="preserve">pportunamente che lo scorrimento delle graduatorie vigenti </w:t>
      </w:r>
      <w:r w:rsidR="007152F3">
        <w:rPr>
          <w:rFonts w:ascii="Bookman Old Style" w:hAnsi="Bookman Old Style"/>
        </w:rPr>
        <w:t>è</w:t>
      </w:r>
      <w:r w:rsidR="00FE4847" w:rsidRPr="0096243E">
        <w:rPr>
          <w:rFonts w:ascii="Bookman Old Style" w:hAnsi="Bookman Old Style"/>
        </w:rPr>
        <w:t xml:space="preserve"> consentito </w:t>
      </w:r>
      <w:r w:rsidR="00777271" w:rsidRPr="0096243E">
        <w:rPr>
          <w:rFonts w:ascii="Bookman Old Style" w:hAnsi="Bookman Old Style"/>
        </w:rPr>
        <w:t xml:space="preserve">per tutte </w:t>
      </w:r>
      <w:r w:rsidR="00777DF3" w:rsidRPr="0096243E">
        <w:rPr>
          <w:rFonts w:ascii="Bookman Old Style" w:hAnsi="Bookman Old Style"/>
        </w:rPr>
        <w:t>le</w:t>
      </w:r>
      <w:r w:rsidR="00777271" w:rsidRPr="0096243E">
        <w:rPr>
          <w:rFonts w:ascii="Bookman Old Style" w:hAnsi="Bookman Old Style"/>
        </w:rPr>
        <w:t xml:space="preserve"> esigenze dell’ente e non esclusivamente </w:t>
      </w:r>
      <w:r w:rsidR="00471C6A" w:rsidRPr="0096243E">
        <w:rPr>
          <w:rFonts w:ascii="Bookman Old Style" w:hAnsi="Bookman Old Style"/>
        </w:rPr>
        <w:t>i</w:t>
      </w:r>
      <w:r w:rsidR="00777271" w:rsidRPr="0096243E">
        <w:rPr>
          <w:rFonts w:ascii="Bookman Old Style" w:hAnsi="Bookman Old Style"/>
        </w:rPr>
        <w:t xml:space="preserve">n caso di rinuncia all'assunzione, di mancato superamento del periodo di prova o di dimissioni del dipendente intervenute entro </w:t>
      </w:r>
      <w:r w:rsidR="00777271" w:rsidRPr="007A142B">
        <w:rPr>
          <w:rFonts w:ascii="Bookman Old Style" w:hAnsi="Bookman Old Style"/>
        </w:rPr>
        <w:t>sei mesi dall'assunzione</w:t>
      </w:r>
      <w:r w:rsidR="00471C6A" w:rsidRPr="007A142B">
        <w:rPr>
          <w:rFonts w:ascii="Bookman Old Style" w:hAnsi="Bookman Old Style"/>
        </w:rPr>
        <w:t>.</w:t>
      </w:r>
      <w:r w:rsidR="00B4543E" w:rsidRPr="007A142B">
        <w:rPr>
          <w:rFonts w:ascii="Bookman Old Style" w:hAnsi="Bookman Old Style"/>
        </w:rPr>
        <w:t xml:space="preserve"> </w:t>
      </w:r>
    </w:p>
    <w:p w14:paraId="7D90AD42" w14:textId="5A5AA2AB" w:rsidR="007A142B" w:rsidRDefault="007A142B" w:rsidP="007A142B">
      <w:pPr>
        <w:jc w:val="both"/>
        <w:rPr>
          <w:rFonts w:ascii="Bookman Old Style" w:hAnsi="Bookman Old Style"/>
        </w:rPr>
      </w:pPr>
      <w:r w:rsidRPr="0084629D">
        <w:rPr>
          <w:rFonts w:ascii="Bookman Old Style" w:hAnsi="Bookman Old Style"/>
        </w:rPr>
        <w:t>Per quanto riguarda lo scorrimento delle graduatorie, l’ultimo periodo</w:t>
      </w:r>
      <w:r w:rsidR="00C73632">
        <w:rPr>
          <w:rFonts w:ascii="Bookman Old Style" w:hAnsi="Bookman Old Style"/>
        </w:rPr>
        <w:t>,</w:t>
      </w:r>
      <w:r w:rsidRPr="0084629D">
        <w:rPr>
          <w:rFonts w:ascii="Bookman Old Style" w:hAnsi="Bookman Old Style"/>
        </w:rPr>
        <w:t xml:space="preserve"> inserito al termine del comma 5-ter dell’art.35 di cui sopra, prevede che le amministrazioni, in   presenza   di profili professionali sovrapponibili a quelli individuati nei propri atti  di programmazione, possono  reclutare  il  proprio  personale,  a  tempo determinato o  tempo  indeterminato,  mediante  utilizzo  di  proprie graduatorie vigenti  ovvero,  previo  accordo,  mediante l’utilizzo di graduatorie di altre amministrazione</w:t>
      </w:r>
      <w:r w:rsidRPr="007A142B">
        <w:rPr>
          <w:rFonts w:ascii="Bookman Old Style" w:hAnsi="Bookman Old Style"/>
        </w:rPr>
        <w:t>.</w:t>
      </w:r>
    </w:p>
    <w:p w14:paraId="74FB4867" w14:textId="77777777" w:rsidR="00F50C3C" w:rsidRDefault="00F50C3C" w:rsidP="007A142B">
      <w:pPr>
        <w:jc w:val="both"/>
        <w:rPr>
          <w:rFonts w:ascii="Bookman Old Style" w:hAnsi="Bookman Old Style"/>
        </w:rPr>
      </w:pPr>
    </w:p>
    <w:p w14:paraId="475BCA0C" w14:textId="7E011112" w:rsidR="00370BF1" w:rsidRPr="0028467C" w:rsidRDefault="00133641" w:rsidP="00370BF1">
      <w:pPr>
        <w:pStyle w:val="Paragrafoelenco"/>
        <w:numPr>
          <w:ilvl w:val="0"/>
          <w:numId w:val="1"/>
        </w:numPr>
        <w:jc w:val="both"/>
        <w:rPr>
          <w:rFonts w:ascii="Bookman Old Style" w:hAnsi="Bookman Old Style"/>
          <w:b/>
          <w:bCs/>
        </w:rPr>
      </w:pPr>
      <w:r w:rsidRPr="0096243E">
        <w:rPr>
          <w:rFonts w:ascii="Bookman Old Style" w:hAnsi="Bookman Old Style"/>
          <w:b/>
          <w:bCs/>
        </w:rPr>
        <w:t>Applicazione delle precedenze e delle preferenze sulle graduatorie concorsuali</w:t>
      </w:r>
      <w:r w:rsidR="00370BF1">
        <w:rPr>
          <w:rFonts w:ascii="Bookman Old Style" w:hAnsi="Bookman Old Style"/>
          <w:b/>
          <w:bCs/>
        </w:rPr>
        <w:t xml:space="preserve"> </w:t>
      </w:r>
      <w:r w:rsidR="00370BF1" w:rsidRPr="0096243E">
        <w:rPr>
          <w:rFonts w:ascii="Bookman Old Style" w:hAnsi="Bookman Old Style"/>
          <w:b/>
          <w:bCs/>
        </w:rPr>
        <w:t>(Art.</w:t>
      </w:r>
      <w:r w:rsidR="00370BF1" w:rsidRPr="0028467C">
        <w:rPr>
          <w:rFonts w:ascii="Bookman Old Style" w:hAnsi="Bookman Old Style"/>
          <w:b/>
          <w:bCs/>
        </w:rPr>
        <w:t xml:space="preserve"> 3</w:t>
      </w:r>
      <w:r w:rsidR="00370BF1" w:rsidRPr="0028467C">
        <w:rPr>
          <w:rFonts w:ascii="Bookman Old Style" w:hAnsi="Bookman Old Style" w:cs="Aptos"/>
          <w:b/>
          <w:kern w:val="0"/>
          <w14:ligatures w14:val="none"/>
        </w:rPr>
        <w:t xml:space="preserve">, comma 1, lettera d) punto </w:t>
      </w:r>
      <w:r w:rsidR="00370BF1">
        <w:rPr>
          <w:rFonts w:ascii="Bookman Old Style" w:hAnsi="Bookman Old Style" w:cs="Aptos"/>
          <w:b/>
          <w:kern w:val="0"/>
          <w14:ligatures w14:val="none"/>
        </w:rPr>
        <w:t>4</w:t>
      </w:r>
      <w:r w:rsidR="00370BF1" w:rsidRPr="0028467C">
        <w:rPr>
          <w:rFonts w:ascii="Bookman Old Style" w:hAnsi="Bookman Old Style" w:cs="Aptos"/>
          <w:b/>
          <w:kern w:val="0"/>
          <w14:ligatures w14:val="none"/>
        </w:rPr>
        <w:t>)</w:t>
      </w:r>
    </w:p>
    <w:p w14:paraId="3E3A19A3" w14:textId="44CCD5E2" w:rsidR="007E4CB8" w:rsidRPr="00D55EB1" w:rsidRDefault="007E4CB8" w:rsidP="00006C06">
      <w:pPr>
        <w:jc w:val="both"/>
        <w:rPr>
          <w:rFonts w:ascii="Bookman Old Style" w:hAnsi="Bookman Old Style"/>
        </w:rPr>
      </w:pPr>
      <w:r w:rsidRPr="00370BF1">
        <w:rPr>
          <w:rFonts w:ascii="Bookman Old Style" w:hAnsi="Bookman Old Style"/>
        </w:rPr>
        <w:t xml:space="preserve">I nuovi commi da 5-quater a 5-sexies dell’art. 35 del </w:t>
      </w:r>
      <w:proofErr w:type="spellStart"/>
      <w:r w:rsidRPr="00370BF1">
        <w:rPr>
          <w:rFonts w:ascii="Bookman Old Style" w:hAnsi="Bookman Old Style"/>
        </w:rPr>
        <w:t>D.Lgs.</w:t>
      </w:r>
      <w:proofErr w:type="spellEnd"/>
      <w:r w:rsidRPr="00370BF1">
        <w:rPr>
          <w:rFonts w:ascii="Bookman Old Style" w:hAnsi="Bookman Old Style"/>
        </w:rPr>
        <w:t xml:space="preserve"> n. 165/2001disciplinano in modo organico l’applicazione, da parte delle commissioni di concorso, </w:t>
      </w:r>
      <w:r w:rsidR="008703F7" w:rsidRPr="00370BF1">
        <w:rPr>
          <w:rFonts w:ascii="Bookman Old Style" w:hAnsi="Bookman Old Style"/>
        </w:rPr>
        <w:t>delle precedenze, delle preferenze e delle riserve</w:t>
      </w:r>
      <w:r w:rsidR="00021280" w:rsidRPr="00370BF1">
        <w:rPr>
          <w:rFonts w:ascii="Bookman Old Style" w:hAnsi="Bookman Old Style"/>
        </w:rPr>
        <w:t>, e i relativi obblighi di trasparenza</w:t>
      </w:r>
      <w:r w:rsidR="008703F7" w:rsidRPr="00370BF1">
        <w:rPr>
          <w:rFonts w:ascii="Bookman Old Style" w:hAnsi="Bookman Old Style"/>
        </w:rPr>
        <w:t>.</w:t>
      </w:r>
      <w:r w:rsidR="00021280" w:rsidRPr="00370BF1">
        <w:rPr>
          <w:rFonts w:ascii="Bookman Old Style" w:hAnsi="Bookman Old Style"/>
        </w:rPr>
        <w:t xml:space="preserve"> </w:t>
      </w:r>
      <w:r w:rsidR="00913F56" w:rsidRPr="00370BF1">
        <w:rPr>
          <w:rFonts w:ascii="Bookman Old Style" w:hAnsi="Bookman Old Style"/>
        </w:rPr>
        <w:t xml:space="preserve">Opportunamente si chiarisce che </w:t>
      </w:r>
      <w:r w:rsidR="00923BF8" w:rsidRPr="00370BF1">
        <w:rPr>
          <w:rFonts w:ascii="Bookman Old Style" w:hAnsi="Bookman Old Style"/>
        </w:rPr>
        <w:t xml:space="preserve">la graduatoria si intende utilmente scorsa quando, entro il limite temporale di validità, l’amministrazione titolare individua, o cede ad amministrazioni terze, candidati idonei individuati nominativamente, in ordine di graduatoria, per la successiva </w:t>
      </w:r>
      <w:r w:rsidR="00923BF8" w:rsidRPr="00D55EB1">
        <w:rPr>
          <w:rFonts w:ascii="Bookman Old Style" w:hAnsi="Bookman Old Style"/>
        </w:rPr>
        <w:t>convocazione da parte dell’amministrazione procedente, a nulla rilevando il momento della stipula del contratto di assunzione</w:t>
      </w:r>
      <w:r w:rsidR="00AF5BFE" w:rsidRPr="00D55EB1">
        <w:rPr>
          <w:rFonts w:ascii="Bookman Old Style" w:hAnsi="Bookman Old Style"/>
        </w:rPr>
        <w:t>.</w:t>
      </w:r>
    </w:p>
    <w:p w14:paraId="3E240E58" w14:textId="3AD1EFFD" w:rsidR="00566EC1" w:rsidRPr="00FD2002" w:rsidRDefault="00566EC1" w:rsidP="00566EC1">
      <w:pPr>
        <w:jc w:val="both"/>
        <w:rPr>
          <w:rFonts w:ascii="Bookman Old Style" w:hAnsi="Bookman Old Style"/>
        </w:rPr>
      </w:pPr>
      <w:r w:rsidRPr="00FD2002">
        <w:rPr>
          <w:rFonts w:ascii="Bookman Old Style" w:hAnsi="Bookman Old Style"/>
        </w:rPr>
        <w:t>In caso di accordo con altri Enti</w:t>
      </w:r>
      <w:r w:rsidR="003007F9">
        <w:rPr>
          <w:rFonts w:ascii="Bookman Old Style" w:hAnsi="Bookman Old Style"/>
        </w:rPr>
        <w:t>,</w:t>
      </w:r>
      <w:r w:rsidRPr="00FD2002">
        <w:rPr>
          <w:rFonts w:ascii="Bookman Old Style" w:hAnsi="Bookman Old Style"/>
        </w:rPr>
        <w:t xml:space="preserve"> pertanto</w:t>
      </w:r>
      <w:r w:rsidR="003007F9">
        <w:rPr>
          <w:rFonts w:ascii="Bookman Old Style" w:hAnsi="Bookman Old Style"/>
        </w:rPr>
        <w:t>,</w:t>
      </w:r>
      <w:r w:rsidRPr="00FD2002">
        <w:rPr>
          <w:rFonts w:ascii="Bookman Old Style" w:hAnsi="Bookman Old Style"/>
        </w:rPr>
        <w:t xml:space="preserve"> per l’utilizzo delle graduatorie, il nuovo comma 5- sexies prevede, in merito alla validità della graduatoria, che la stessa cessa entro il termine di validità e pertanto i nominativi dei candidati idoneamente collocati in ordine di graduatoria per la successiva convocazione da parte dell’amministrazione procedente, devono essere trasmessi prima della scadenza della graduatoria, a nulla  rilevando  il  momento  della   stipula   del   contratto   di assunzione. </w:t>
      </w:r>
    </w:p>
    <w:p w14:paraId="08471AF1" w14:textId="1CFFF879" w:rsidR="00566EC1" w:rsidRPr="00FD2002" w:rsidRDefault="00566EC1" w:rsidP="00566EC1">
      <w:pPr>
        <w:jc w:val="both"/>
        <w:rPr>
          <w:rFonts w:ascii="Bookman Old Style" w:hAnsi="Bookman Old Style"/>
        </w:rPr>
      </w:pPr>
      <w:r w:rsidRPr="00FD2002">
        <w:rPr>
          <w:rFonts w:ascii="Bookman Old Style" w:hAnsi="Bookman Old Style"/>
        </w:rPr>
        <w:t>La stessa regola si applica agli Enti titolari della graduatoria. I nominativi dei candidati utilmente collocati in graduatoria devono essere preventivamente individuati</w:t>
      </w:r>
      <w:r w:rsidR="004058E9">
        <w:rPr>
          <w:rFonts w:ascii="Bookman Old Style" w:hAnsi="Bookman Old Style"/>
        </w:rPr>
        <w:t>,</w:t>
      </w:r>
      <w:r w:rsidRPr="00FD2002">
        <w:rPr>
          <w:rFonts w:ascii="Bookman Old Style" w:hAnsi="Bookman Old Style"/>
        </w:rPr>
        <w:t xml:space="preserve"> a nulla rilevando il momento della stipula del contratto.</w:t>
      </w:r>
    </w:p>
    <w:p w14:paraId="2AE14247" w14:textId="4DF95A30" w:rsidR="00566EC1" w:rsidRDefault="00566EC1" w:rsidP="00566EC1">
      <w:pPr>
        <w:jc w:val="both"/>
        <w:rPr>
          <w:rFonts w:ascii="Bookman Old Style" w:hAnsi="Bookman Old Style"/>
        </w:rPr>
      </w:pPr>
      <w:r w:rsidRPr="00FD2002">
        <w:rPr>
          <w:rFonts w:ascii="Bookman Old Style" w:hAnsi="Bookman Old Style"/>
        </w:rPr>
        <w:t>Con questa novità si superano le mancate assunzioni di candidati idonei collocati in graduatoria che per motivi diversi (necessità di organizzare trasferimenti, obbligo di preavviso, ecc.) non riuscivano a sottoscrivere i contratti entro la data di scadenza della graduatoria</w:t>
      </w:r>
      <w:r w:rsidR="00D55EB1">
        <w:rPr>
          <w:rFonts w:ascii="Bookman Old Style" w:hAnsi="Bookman Old Style"/>
        </w:rPr>
        <w:t>.</w:t>
      </w:r>
    </w:p>
    <w:p w14:paraId="11FA0F49" w14:textId="77777777" w:rsidR="009072A6" w:rsidRDefault="009072A6" w:rsidP="009072A6">
      <w:pPr>
        <w:jc w:val="both"/>
        <w:rPr>
          <w:rFonts w:ascii="Bookman Old Style" w:hAnsi="Bookman Old Style"/>
        </w:rPr>
      </w:pPr>
    </w:p>
    <w:p w14:paraId="4129174C" w14:textId="77777777" w:rsidR="009072A6" w:rsidRPr="008D34E9" w:rsidRDefault="009072A6" w:rsidP="009072A6">
      <w:pPr>
        <w:pStyle w:val="Paragrafoelenco"/>
        <w:numPr>
          <w:ilvl w:val="0"/>
          <w:numId w:val="1"/>
        </w:numPr>
        <w:jc w:val="both"/>
        <w:rPr>
          <w:rFonts w:ascii="Bookman Old Style" w:hAnsi="Bookman Old Style"/>
          <w:b/>
          <w:bCs/>
        </w:rPr>
      </w:pPr>
      <w:r w:rsidRPr="008D34E9">
        <w:rPr>
          <w:rFonts w:ascii="Bookman Old Style" w:hAnsi="Bookman Old Style"/>
          <w:b/>
          <w:bCs/>
        </w:rPr>
        <w:lastRenderedPageBreak/>
        <w:t>Aspettativa non retribuita (Art. 3, comma 1, lettera e-bis)</w:t>
      </w:r>
    </w:p>
    <w:p w14:paraId="606F85CA" w14:textId="3863E0C5" w:rsidR="009072A6" w:rsidRPr="001A7657" w:rsidRDefault="009072A6" w:rsidP="009072A6">
      <w:pPr>
        <w:jc w:val="both"/>
        <w:rPr>
          <w:rFonts w:ascii="Bookman Old Style" w:hAnsi="Bookman Old Style"/>
        </w:rPr>
      </w:pPr>
      <w:r w:rsidRPr="001A7657">
        <w:rPr>
          <w:rFonts w:ascii="Bookman Old Style" w:hAnsi="Bookman Old Style"/>
        </w:rPr>
        <w:t xml:space="preserve">La norma approvata </w:t>
      </w:r>
      <w:r w:rsidR="00176E97">
        <w:rPr>
          <w:rFonts w:ascii="Bookman Old Style" w:hAnsi="Bookman Old Style"/>
        </w:rPr>
        <w:t>durante l’esame parlamentare</w:t>
      </w:r>
      <w:r w:rsidR="00176E97" w:rsidRPr="001A7657">
        <w:rPr>
          <w:rFonts w:ascii="Bookman Old Style" w:hAnsi="Bookman Old Style"/>
        </w:rPr>
        <w:t xml:space="preserve"> </w:t>
      </w:r>
      <w:r w:rsidRPr="001A7657">
        <w:rPr>
          <w:rFonts w:ascii="Bookman Old Style" w:hAnsi="Bookman Old Style"/>
        </w:rPr>
        <w:t>stabilisce che le Pubbliche amministrazioni possono coprire le vacanze di organico</w:t>
      </w:r>
      <w:r w:rsidR="00D872D3" w:rsidRPr="001A7657">
        <w:rPr>
          <w:rFonts w:ascii="Bookman Old Style" w:hAnsi="Bookman Old Style"/>
        </w:rPr>
        <w:t>,</w:t>
      </w:r>
      <w:r w:rsidRPr="001A7657">
        <w:rPr>
          <w:rFonts w:ascii="Bookman Old Style" w:hAnsi="Bookman Old Style"/>
        </w:rPr>
        <w:t xml:space="preserve"> conseguenti al collocamento in aspettativa non retribuita di propri dipendenti</w:t>
      </w:r>
      <w:r w:rsidR="00021947" w:rsidRPr="001A7657">
        <w:rPr>
          <w:rFonts w:ascii="Bookman Old Style" w:hAnsi="Bookman Old Style"/>
        </w:rPr>
        <w:t>,</w:t>
      </w:r>
      <w:r w:rsidRPr="001A7657">
        <w:rPr>
          <w:rFonts w:ascii="Bookman Old Style" w:hAnsi="Bookman Old Style"/>
        </w:rPr>
        <w:t xml:space="preserve"> mediante il ricorso a contratti a tempo determinato della durata massima di trentasei mesi, comunque non superiore all'effettiva durata dell'aspettativa. I contratti in questione sono comunque risolti alla data di rientro in servizio del personale collocato in aspettativa. Si specifica</w:t>
      </w:r>
      <w:r w:rsidR="00021947" w:rsidRPr="001A7657">
        <w:rPr>
          <w:rFonts w:ascii="Bookman Old Style" w:hAnsi="Bookman Old Style"/>
        </w:rPr>
        <w:t>,</w:t>
      </w:r>
      <w:r w:rsidRPr="001A7657">
        <w:rPr>
          <w:rFonts w:ascii="Bookman Old Style" w:hAnsi="Bookman Old Style"/>
        </w:rPr>
        <w:t xml:space="preserve"> inoltre</w:t>
      </w:r>
      <w:r w:rsidR="00021947" w:rsidRPr="001A7657">
        <w:rPr>
          <w:rFonts w:ascii="Bookman Old Style" w:hAnsi="Bookman Old Style"/>
        </w:rPr>
        <w:t>,</w:t>
      </w:r>
      <w:r w:rsidRPr="001A7657">
        <w:rPr>
          <w:rFonts w:ascii="Bookman Old Style" w:hAnsi="Bookman Old Style"/>
        </w:rPr>
        <w:t xml:space="preserve"> che il personale in aspettativa non riveste la qualifica di pubblico ufficiale o di incaricato di pubblico servizio. Il servizio prestato in applicazione di questa misura è valorizzato nei concorsi per l'accesso ai ruoli della pubblica amministrazione, anche attraverso la previsione di riserve di posti in misura non superiore al 10 per cento di quelli messi a concorso.</w:t>
      </w:r>
    </w:p>
    <w:p w14:paraId="5A24D12B" w14:textId="77777777" w:rsidR="004225AD" w:rsidRDefault="004225AD" w:rsidP="00566EC1">
      <w:pPr>
        <w:jc w:val="both"/>
        <w:rPr>
          <w:rFonts w:ascii="Bookman Old Style" w:hAnsi="Bookman Old Style"/>
        </w:rPr>
      </w:pPr>
    </w:p>
    <w:p w14:paraId="4CDCCA63" w14:textId="2A558AAC" w:rsidR="004225AD" w:rsidRPr="00474F04" w:rsidRDefault="004225AD" w:rsidP="00474F04">
      <w:pPr>
        <w:pStyle w:val="Paragrafoelenco"/>
        <w:numPr>
          <w:ilvl w:val="0"/>
          <w:numId w:val="1"/>
        </w:numPr>
        <w:jc w:val="both"/>
        <w:rPr>
          <w:rFonts w:ascii="Bookman Old Style" w:hAnsi="Bookman Old Style"/>
          <w:b/>
          <w:bCs/>
        </w:rPr>
      </w:pPr>
      <w:r w:rsidRPr="00474F04">
        <w:rPr>
          <w:rFonts w:ascii="Bookman Old Style" w:hAnsi="Bookman Old Style"/>
          <w:b/>
          <w:bCs/>
        </w:rPr>
        <w:t>Incompatibilità componenti organi collegiali cessati dall’incarico (art. 3, comma 3-bis)</w:t>
      </w:r>
    </w:p>
    <w:p w14:paraId="351E3A05" w14:textId="3631C98A" w:rsidR="004225AD" w:rsidRDefault="004225AD" w:rsidP="00A26249">
      <w:pPr>
        <w:jc w:val="both"/>
        <w:rPr>
          <w:rFonts w:ascii="Bookman Old Style" w:hAnsi="Bookman Old Style"/>
        </w:rPr>
      </w:pPr>
      <w:r w:rsidRPr="00474F04">
        <w:rPr>
          <w:rFonts w:ascii="Bookman Old Style" w:hAnsi="Bookman Old Style"/>
        </w:rPr>
        <w:t xml:space="preserve">La norma approvata </w:t>
      </w:r>
      <w:r w:rsidR="00556804">
        <w:rPr>
          <w:rFonts w:ascii="Bookman Old Style" w:hAnsi="Bookman Old Style"/>
        </w:rPr>
        <w:t>durante l’esame parlamentare</w:t>
      </w:r>
      <w:r w:rsidR="00556804" w:rsidRPr="00474F04">
        <w:rPr>
          <w:rFonts w:ascii="Bookman Old Style" w:hAnsi="Bookman Old Style"/>
        </w:rPr>
        <w:t xml:space="preserve"> </w:t>
      </w:r>
      <w:r w:rsidR="00474F04" w:rsidRPr="00474F04">
        <w:rPr>
          <w:rFonts w:ascii="Bookman Old Style" w:hAnsi="Bookman Old Style"/>
        </w:rPr>
        <w:t>estende il regime di incompatibilità previsto per i componenti e i dirigenti della CONSOB a tutti i componenti degli organi collegiali delle amministrazioni pubbliche</w:t>
      </w:r>
      <w:r w:rsidR="00A26249">
        <w:rPr>
          <w:rFonts w:ascii="Bookman Old Style" w:hAnsi="Bookman Old Style"/>
        </w:rPr>
        <w:t xml:space="preserve"> </w:t>
      </w:r>
      <w:r w:rsidR="00A26249" w:rsidRPr="00A26249">
        <w:rPr>
          <w:rFonts w:ascii="Bookman Old Style" w:hAnsi="Bookman Old Style"/>
        </w:rPr>
        <w:t>di cui all’articolo 1, comma 2, del decreto</w:t>
      </w:r>
      <w:r w:rsidR="00A26249">
        <w:rPr>
          <w:rFonts w:ascii="Bookman Old Style" w:hAnsi="Bookman Old Style"/>
        </w:rPr>
        <w:t xml:space="preserve"> </w:t>
      </w:r>
      <w:r w:rsidR="00A26249" w:rsidRPr="00A26249">
        <w:rPr>
          <w:rFonts w:ascii="Bookman Old Style" w:hAnsi="Bookman Old Style"/>
        </w:rPr>
        <w:t>legislativo 30 marzo 2001, n. 165</w:t>
      </w:r>
      <w:r w:rsidR="00474F04" w:rsidRPr="00474F04">
        <w:rPr>
          <w:rFonts w:ascii="Bookman Old Style" w:hAnsi="Bookman Old Style"/>
        </w:rPr>
        <w:t xml:space="preserve"> e delle autorità indipendenti, che assumano determinazioni obbligatorie destinate ad avere, direttamente o indirettamente, effetti nei confronti di soggetti privati determinati.</w:t>
      </w:r>
    </w:p>
    <w:p w14:paraId="5FABF60E" w14:textId="77777777" w:rsidR="00425772" w:rsidRDefault="00E85EAC" w:rsidP="00A26249">
      <w:pPr>
        <w:jc w:val="both"/>
        <w:rPr>
          <w:rFonts w:ascii="Bookman Old Style" w:hAnsi="Bookman Old Style" w:cs="Aptos"/>
          <w:b/>
          <w:color w:val="0070C0"/>
          <w:kern w:val="0"/>
          <w14:ligatures w14:val="none"/>
        </w:rPr>
      </w:pPr>
      <w:r w:rsidRPr="00E85EAC">
        <w:rPr>
          <w:rFonts w:ascii="Bookman Old Style" w:hAnsi="Bookman Old Style" w:cs="Aptos"/>
          <w:b/>
          <w:color w:val="0070C0"/>
          <w:kern w:val="0"/>
          <w14:ligatures w14:val="none"/>
        </w:rPr>
        <w:t>Distacchi e assegnazioni presso altre amministrazioni</w:t>
      </w:r>
      <w:r w:rsidR="007A4BE1">
        <w:rPr>
          <w:rFonts w:ascii="Bookman Old Style" w:hAnsi="Bookman Old Style" w:cs="Aptos"/>
          <w:b/>
          <w:color w:val="0070C0"/>
          <w:kern w:val="0"/>
          <w14:ligatures w14:val="none"/>
        </w:rPr>
        <w:t xml:space="preserve"> (Art. 3-bis)</w:t>
      </w:r>
    </w:p>
    <w:p w14:paraId="64AD1424" w14:textId="206A8A70" w:rsidR="00782F2A" w:rsidRPr="00425772" w:rsidRDefault="00425772" w:rsidP="00A26249">
      <w:pPr>
        <w:jc w:val="both"/>
        <w:rPr>
          <w:rFonts w:ascii="Bookman Old Style" w:hAnsi="Bookman Old Style" w:cs="Aptos"/>
          <w:b/>
          <w:color w:val="0070C0"/>
          <w:kern w:val="0"/>
          <w14:ligatures w14:val="none"/>
        </w:rPr>
      </w:pPr>
      <w:r w:rsidRPr="00474F04">
        <w:rPr>
          <w:rFonts w:ascii="Bookman Old Style" w:hAnsi="Bookman Old Style"/>
        </w:rPr>
        <w:t>La norma</w:t>
      </w:r>
      <w:r w:rsidR="0050310E">
        <w:rPr>
          <w:rFonts w:ascii="Bookman Old Style" w:hAnsi="Bookman Old Style"/>
        </w:rPr>
        <w:t xml:space="preserve">, </w:t>
      </w:r>
      <w:r w:rsidR="0050310E" w:rsidRPr="0050310E">
        <w:rPr>
          <w:rFonts w:ascii="Bookman Old Style" w:hAnsi="Bookman Old Style"/>
          <w:b/>
          <w:bCs/>
        </w:rPr>
        <w:t>richiesta dall’ANCI</w:t>
      </w:r>
      <w:r w:rsidR="0050310E">
        <w:rPr>
          <w:rFonts w:ascii="Bookman Old Style" w:hAnsi="Bookman Old Style"/>
        </w:rPr>
        <w:t xml:space="preserve"> e</w:t>
      </w:r>
      <w:r w:rsidRPr="00474F04">
        <w:rPr>
          <w:rFonts w:ascii="Bookman Old Style" w:hAnsi="Bookman Old Style"/>
        </w:rPr>
        <w:t xml:space="preserve"> approvata </w:t>
      </w:r>
      <w:r w:rsidR="00556804">
        <w:rPr>
          <w:rFonts w:ascii="Bookman Old Style" w:hAnsi="Bookman Old Style"/>
        </w:rPr>
        <w:t>durante l’esame parlamentare,</w:t>
      </w:r>
      <w:r w:rsidRPr="00425772">
        <w:rPr>
          <w:rFonts w:ascii="Bookman Old Style" w:hAnsi="Bookman Old Style"/>
        </w:rPr>
        <w:t xml:space="preserve"> prevede che, al fine di ottimizzare l’uso delle risorse umane e strumentali per il rafforzamento della capacità amministrativa volta alla realizzazione degli obiettivi del PNRR, il distacco o l’assegnazione presso altre amministrazioni del personale dirigenziale e non dirigenziale - che appartiene ai ruoli dei comuni, delle Unioni di comuni e delle città metropolitane con un numero di dipendenti eguale o inferiore a 50 unità – sia subordinato al nullaosta dell’amministrazione di appartenenza, sino al 31 dicembre 2026</w:t>
      </w:r>
    </w:p>
    <w:p w14:paraId="01E847A4" w14:textId="77777777" w:rsidR="009072A6" w:rsidRPr="00751AD4" w:rsidRDefault="009072A6" w:rsidP="009072A6">
      <w:pPr>
        <w:jc w:val="both"/>
        <w:rPr>
          <w:rFonts w:ascii="Bookman Old Style" w:hAnsi="Bookman Old Style"/>
          <w:highlight w:val="yellow"/>
        </w:rPr>
      </w:pPr>
    </w:p>
    <w:p w14:paraId="1768F240" w14:textId="7E3B3BDB" w:rsidR="0038060C" w:rsidRPr="0023737A" w:rsidRDefault="00863275" w:rsidP="00006C06">
      <w:pPr>
        <w:jc w:val="both"/>
        <w:rPr>
          <w:rFonts w:ascii="Bookman Old Style" w:hAnsi="Bookman Old Style" w:cs="Aptos"/>
          <w:b/>
          <w:color w:val="0070C0"/>
          <w:kern w:val="0"/>
          <w14:ligatures w14:val="none"/>
        </w:rPr>
      </w:pPr>
      <w:r w:rsidRPr="0023737A">
        <w:rPr>
          <w:rFonts w:ascii="Bookman Old Style" w:hAnsi="Bookman Old Style" w:cs="Aptos"/>
          <w:b/>
          <w:color w:val="0070C0"/>
          <w:kern w:val="0"/>
          <w14:ligatures w14:val="none"/>
        </w:rPr>
        <w:t>Misure urgenti in materia di reclutamento</w:t>
      </w:r>
      <w:r w:rsidR="0023737A">
        <w:rPr>
          <w:rFonts w:ascii="Bookman Old Style" w:hAnsi="Bookman Old Style" w:cs="Aptos"/>
          <w:b/>
          <w:color w:val="0070C0"/>
          <w:kern w:val="0"/>
          <w14:ligatures w14:val="none"/>
        </w:rPr>
        <w:t xml:space="preserve"> (Art. 4)</w:t>
      </w:r>
    </w:p>
    <w:p w14:paraId="66233A74" w14:textId="3F4244CC" w:rsidR="00863275" w:rsidRPr="0023737A" w:rsidRDefault="00F951F1" w:rsidP="0023737A">
      <w:pPr>
        <w:pStyle w:val="Paragrafoelenco"/>
        <w:numPr>
          <w:ilvl w:val="0"/>
          <w:numId w:val="1"/>
        </w:numPr>
        <w:jc w:val="both"/>
        <w:rPr>
          <w:rFonts w:ascii="Bookman Old Style" w:hAnsi="Bookman Old Style"/>
          <w:b/>
          <w:bCs/>
        </w:rPr>
      </w:pPr>
      <w:r w:rsidRPr="0023737A">
        <w:rPr>
          <w:rFonts w:ascii="Bookman Old Style" w:hAnsi="Bookman Old Style"/>
          <w:b/>
          <w:bCs/>
        </w:rPr>
        <w:t>Interpretazione autentica concorsi pubblici</w:t>
      </w:r>
      <w:r w:rsidR="0023737A" w:rsidRPr="0023737A">
        <w:rPr>
          <w:rFonts w:ascii="Bookman Old Style" w:hAnsi="Bookman Old Style"/>
          <w:b/>
          <w:bCs/>
        </w:rPr>
        <w:t xml:space="preserve"> (Art. 4, comma 1)</w:t>
      </w:r>
    </w:p>
    <w:p w14:paraId="2DD4E014" w14:textId="2881E1C1" w:rsidR="00EA140A" w:rsidRDefault="00D34A1A" w:rsidP="00006C06">
      <w:pPr>
        <w:jc w:val="both"/>
        <w:rPr>
          <w:rFonts w:ascii="Bookman Old Style" w:hAnsi="Bookman Old Style"/>
          <w:b/>
          <w:bCs/>
          <w:u w:val="single"/>
        </w:rPr>
      </w:pPr>
      <w:r>
        <w:rPr>
          <w:rFonts w:ascii="Bookman Old Style" w:hAnsi="Bookman Old Style"/>
        </w:rPr>
        <w:t>La norma</w:t>
      </w:r>
      <w:r w:rsidR="00DA75A2" w:rsidRPr="0023737A">
        <w:rPr>
          <w:rFonts w:ascii="Bookman Old Style" w:hAnsi="Bookman Old Style"/>
        </w:rPr>
        <w:t xml:space="preserve"> </w:t>
      </w:r>
      <w:r w:rsidR="00692F83" w:rsidRPr="0023737A">
        <w:rPr>
          <w:rFonts w:ascii="Bookman Old Style" w:hAnsi="Bookman Old Style"/>
        </w:rPr>
        <w:t xml:space="preserve">ribadisce </w:t>
      </w:r>
      <w:r w:rsidR="004058E9">
        <w:rPr>
          <w:rFonts w:ascii="Bookman Old Style" w:hAnsi="Bookman Old Style"/>
        </w:rPr>
        <w:t xml:space="preserve">che </w:t>
      </w:r>
      <w:r w:rsidR="00B2615F" w:rsidRPr="0023737A">
        <w:rPr>
          <w:rFonts w:ascii="Bookman Old Style" w:hAnsi="Bookman Old Style"/>
        </w:rPr>
        <w:t xml:space="preserve">per le amministrazioni pubbliche vale il principio </w:t>
      </w:r>
      <w:r w:rsidR="005E4881" w:rsidRPr="0023737A">
        <w:rPr>
          <w:rFonts w:ascii="Bookman Old Style" w:hAnsi="Bookman Old Style"/>
        </w:rPr>
        <w:t xml:space="preserve">per cui il concorso è lo strumento ordinario e prioritario </w:t>
      </w:r>
      <w:r w:rsidR="005E4881" w:rsidRPr="003F681E">
        <w:rPr>
          <w:rFonts w:ascii="Bookman Old Style" w:hAnsi="Bookman Old Style"/>
          <w:b/>
          <w:bCs/>
          <w:u w:val="single"/>
        </w:rPr>
        <w:t xml:space="preserve">per il reclutamento di personale e di conseguenza </w:t>
      </w:r>
      <w:r w:rsidR="00093FEC" w:rsidRPr="003F681E">
        <w:rPr>
          <w:rFonts w:ascii="Bookman Old Style" w:hAnsi="Bookman Old Style"/>
          <w:b/>
          <w:bCs/>
          <w:u w:val="single"/>
        </w:rPr>
        <w:t xml:space="preserve">è necessario procedere </w:t>
      </w:r>
      <w:r w:rsidR="00CD673F" w:rsidRPr="003F681E">
        <w:rPr>
          <w:rFonts w:ascii="Bookman Old Style" w:hAnsi="Bookman Old Style"/>
          <w:b/>
          <w:bCs/>
          <w:u w:val="single"/>
        </w:rPr>
        <w:t>all’immissione in servizio</w:t>
      </w:r>
      <w:r w:rsidR="00093FEC" w:rsidRPr="003F681E">
        <w:rPr>
          <w:rFonts w:ascii="Bookman Old Style" w:hAnsi="Bookman Old Style"/>
          <w:b/>
          <w:bCs/>
          <w:u w:val="single"/>
        </w:rPr>
        <w:t xml:space="preserve"> di tutti i vincitori di concorso prima di </w:t>
      </w:r>
      <w:r w:rsidR="005538CE" w:rsidRPr="003F681E">
        <w:rPr>
          <w:rFonts w:ascii="Bookman Old Style" w:hAnsi="Bookman Old Style"/>
          <w:b/>
          <w:bCs/>
          <w:u w:val="single"/>
        </w:rPr>
        <w:t>avviare nuove procedure concorsuali</w:t>
      </w:r>
      <w:r w:rsidR="00093FEC" w:rsidRPr="003F681E">
        <w:rPr>
          <w:rFonts w:ascii="Bookman Old Style" w:hAnsi="Bookman Old Style"/>
          <w:b/>
          <w:bCs/>
          <w:u w:val="single"/>
        </w:rPr>
        <w:t>.</w:t>
      </w:r>
    </w:p>
    <w:p w14:paraId="015F71FF" w14:textId="77777777" w:rsidR="00A47B74" w:rsidRPr="003F681E" w:rsidRDefault="00A47B74" w:rsidP="00006C06">
      <w:pPr>
        <w:jc w:val="both"/>
        <w:rPr>
          <w:rFonts w:ascii="Bookman Old Style" w:hAnsi="Bookman Old Style"/>
          <w:b/>
          <w:bCs/>
          <w:u w:val="single"/>
        </w:rPr>
      </w:pPr>
    </w:p>
    <w:p w14:paraId="29E5B42E" w14:textId="23D2121D" w:rsidR="00EA140A" w:rsidRPr="004667A6" w:rsidRDefault="00923C48" w:rsidP="000C75B5">
      <w:pPr>
        <w:pStyle w:val="Titolo2"/>
        <w:jc w:val="both"/>
        <w:rPr>
          <w:rFonts w:ascii="Bookman Old Style" w:eastAsiaTheme="minorHAnsi" w:hAnsi="Bookman Old Style" w:cs="Aptos"/>
          <w:b/>
          <w:color w:val="0070C0"/>
          <w:kern w:val="0"/>
          <w:sz w:val="22"/>
          <w:szCs w:val="22"/>
          <w14:ligatures w14:val="none"/>
        </w:rPr>
      </w:pPr>
      <w:r w:rsidRPr="004667A6">
        <w:rPr>
          <w:rFonts w:ascii="Bookman Old Style" w:eastAsiaTheme="minorHAnsi" w:hAnsi="Bookman Old Style" w:cs="Aptos"/>
          <w:b/>
          <w:color w:val="0070C0"/>
          <w:kern w:val="0"/>
          <w:sz w:val="22"/>
          <w:szCs w:val="22"/>
          <w14:ligatures w14:val="none"/>
        </w:rPr>
        <w:t>Riserve di posti nei concorsi pubblici</w:t>
      </w:r>
      <w:r w:rsidR="0023737A" w:rsidRPr="004667A6">
        <w:rPr>
          <w:rFonts w:ascii="Bookman Old Style" w:eastAsiaTheme="minorHAnsi" w:hAnsi="Bookman Old Style" w:cs="Aptos"/>
          <w:b/>
          <w:color w:val="0070C0"/>
          <w:kern w:val="0"/>
          <w:sz w:val="22"/>
          <w:szCs w:val="22"/>
          <w14:ligatures w14:val="none"/>
        </w:rPr>
        <w:t xml:space="preserve"> (Art. 4, commi 2 e 3)</w:t>
      </w:r>
    </w:p>
    <w:p w14:paraId="3C3F8079" w14:textId="68083AAD" w:rsidR="00EA140A" w:rsidRPr="0023737A" w:rsidRDefault="00CB0F8B" w:rsidP="00006C06">
      <w:pPr>
        <w:jc w:val="both"/>
        <w:rPr>
          <w:rFonts w:ascii="Bookman Old Style" w:hAnsi="Bookman Old Style"/>
        </w:rPr>
      </w:pPr>
      <w:r>
        <w:rPr>
          <w:rFonts w:ascii="Bookman Old Style" w:hAnsi="Bookman Old Style"/>
        </w:rPr>
        <w:t>La norma di cui a</w:t>
      </w:r>
      <w:r w:rsidR="00CA4072" w:rsidRPr="0023737A">
        <w:rPr>
          <w:rFonts w:ascii="Bookman Old Style" w:hAnsi="Bookman Old Style"/>
        </w:rPr>
        <w:t xml:space="preserve">l comma 2 specifica che </w:t>
      </w:r>
      <w:r w:rsidR="006B64CE" w:rsidRPr="0023737A">
        <w:rPr>
          <w:rFonts w:ascii="Bookman Old Style" w:hAnsi="Bookman Old Style"/>
        </w:rPr>
        <w:t>la riserva di posti non superiore al 40%</w:t>
      </w:r>
      <w:r w:rsidR="004C289F" w:rsidRPr="0023737A">
        <w:rPr>
          <w:rFonts w:ascii="Bookman Old Style" w:hAnsi="Bookman Old Style"/>
        </w:rPr>
        <w:t xml:space="preserve"> di quelli banditi</w:t>
      </w:r>
      <w:r w:rsidR="00012767">
        <w:rPr>
          <w:rFonts w:ascii="Bookman Old Style" w:hAnsi="Bookman Old Style"/>
        </w:rPr>
        <w:t>,</w:t>
      </w:r>
      <w:r w:rsidR="006B64CE" w:rsidRPr="0023737A">
        <w:rPr>
          <w:rFonts w:ascii="Bookman Old Style" w:hAnsi="Bookman Old Style"/>
        </w:rPr>
        <w:t xml:space="preserve"> che le amministrazioni </w:t>
      </w:r>
      <w:r w:rsidR="001E272A" w:rsidRPr="0023737A">
        <w:rPr>
          <w:rFonts w:ascii="Bookman Old Style" w:hAnsi="Bookman Old Style"/>
        </w:rPr>
        <w:t xml:space="preserve">possono destinare al personale </w:t>
      </w:r>
      <w:r w:rsidR="009A06E9" w:rsidRPr="0023737A">
        <w:rPr>
          <w:rFonts w:ascii="Bookman Old Style" w:hAnsi="Bookman Old Style"/>
        </w:rPr>
        <w:t>assunto</w:t>
      </w:r>
      <w:r w:rsidR="001E272A" w:rsidRPr="0023737A">
        <w:rPr>
          <w:rFonts w:ascii="Bookman Old Style" w:hAnsi="Bookman Old Style"/>
        </w:rPr>
        <w:t xml:space="preserve"> a tempo determinato</w:t>
      </w:r>
      <w:r w:rsidR="009A06E9" w:rsidRPr="0023737A">
        <w:rPr>
          <w:rFonts w:ascii="Bookman Old Style" w:hAnsi="Bookman Old Style"/>
        </w:rPr>
        <w:t xml:space="preserve"> con le modalità speciali discipiate dall’art. 1 del D.L. n. 80/2021 e </w:t>
      </w:r>
      <w:r w:rsidR="00070B80" w:rsidRPr="0023737A">
        <w:rPr>
          <w:rFonts w:ascii="Bookman Old Style" w:hAnsi="Bookman Old Style"/>
        </w:rPr>
        <w:t>impiegato nell’ambito dei progetti PNRR</w:t>
      </w:r>
      <w:r w:rsidR="00012767">
        <w:rPr>
          <w:rFonts w:ascii="Bookman Old Style" w:hAnsi="Bookman Old Style"/>
        </w:rPr>
        <w:t>,</w:t>
      </w:r>
      <w:r w:rsidR="00070B80" w:rsidRPr="0023737A">
        <w:rPr>
          <w:rFonts w:ascii="Bookman Old Style" w:hAnsi="Bookman Old Style"/>
        </w:rPr>
        <w:t xml:space="preserve"> </w:t>
      </w:r>
      <w:r w:rsidR="00405C2C" w:rsidRPr="0023737A">
        <w:rPr>
          <w:rFonts w:ascii="Bookman Old Style" w:hAnsi="Bookman Old Style"/>
        </w:rPr>
        <w:t>riguarda solo il personale non dirigenziale.</w:t>
      </w:r>
    </w:p>
    <w:p w14:paraId="2AF46E3D" w14:textId="2EA43D64" w:rsidR="00405C2C" w:rsidRDefault="00CB0F8B" w:rsidP="00006C06">
      <w:pPr>
        <w:jc w:val="both"/>
        <w:rPr>
          <w:rFonts w:ascii="Bookman Old Style" w:hAnsi="Bookman Old Style"/>
        </w:rPr>
      </w:pPr>
      <w:r>
        <w:rPr>
          <w:rFonts w:ascii="Bookman Old Style" w:hAnsi="Bookman Old Style"/>
        </w:rPr>
        <w:t>La norma di cui a</w:t>
      </w:r>
      <w:r w:rsidRPr="0023737A">
        <w:rPr>
          <w:rFonts w:ascii="Bookman Old Style" w:hAnsi="Bookman Old Style"/>
        </w:rPr>
        <w:t>l</w:t>
      </w:r>
      <w:r w:rsidR="00405C2C" w:rsidRPr="0023737A">
        <w:rPr>
          <w:rFonts w:ascii="Bookman Old Style" w:hAnsi="Bookman Old Style"/>
        </w:rPr>
        <w:t xml:space="preserve"> comma 3 </w:t>
      </w:r>
      <w:r w:rsidR="00B51966" w:rsidRPr="0023737A">
        <w:rPr>
          <w:rFonts w:ascii="Bookman Old Style" w:hAnsi="Bookman Old Style"/>
        </w:rPr>
        <w:t xml:space="preserve">chiarisce che </w:t>
      </w:r>
      <w:r w:rsidR="004C289F" w:rsidRPr="0023737A">
        <w:rPr>
          <w:rFonts w:ascii="Bookman Old Style" w:hAnsi="Bookman Old Style"/>
        </w:rPr>
        <w:t>la riserva di posti non superiore al 50%</w:t>
      </w:r>
      <w:r w:rsidR="000F3A72">
        <w:rPr>
          <w:rFonts w:ascii="Bookman Old Style" w:hAnsi="Bookman Old Style"/>
        </w:rPr>
        <w:t>,</w:t>
      </w:r>
      <w:r w:rsidR="004C289F" w:rsidRPr="0023737A">
        <w:rPr>
          <w:rFonts w:ascii="Bookman Old Style" w:hAnsi="Bookman Old Style"/>
        </w:rPr>
        <w:t xml:space="preserve"> di quelli banditi </w:t>
      </w:r>
      <w:r w:rsidR="003A5A0D" w:rsidRPr="0023737A">
        <w:rPr>
          <w:rFonts w:ascii="Bookman Old Style" w:hAnsi="Bookman Old Style"/>
        </w:rPr>
        <w:t>nei concorsi per dirigenti ai sensi dell’art. 28, comma 1-bis</w:t>
      </w:r>
      <w:r w:rsidR="0063176E" w:rsidRPr="0023737A">
        <w:rPr>
          <w:rFonts w:ascii="Bookman Old Style" w:hAnsi="Bookman Old Style"/>
        </w:rPr>
        <w:t xml:space="preserve">, del D.L. n. 75/2023, </w:t>
      </w:r>
      <w:r w:rsidR="00A02208" w:rsidRPr="0023737A">
        <w:rPr>
          <w:rFonts w:ascii="Bookman Old Style" w:hAnsi="Bookman Old Style"/>
        </w:rPr>
        <w:lastRenderedPageBreak/>
        <w:t xml:space="preserve">riguarda esclusivamente il personale che </w:t>
      </w:r>
      <w:r w:rsidR="00352995" w:rsidRPr="00A04ACC">
        <w:rPr>
          <w:rFonts w:ascii="Bookman Old Style" w:hAnsi="Bookman Old Style"/>
          <w:b/>
          <w:bCs/>
          <w:u w:val="single"/>
        </w:rPr>
        <w:t>presta</w:t>
      </w:r>
      <w:r w:rsidR="00A02208" w:rsidRPr="00A04ACC">
        <w:rPr>
          <w:rFonts w:ascii="Bookman Old Style" w:hAnsi="Bookman Old Style"/>
          <w:b/>
          <w:bCs/>
          <w:u w:val="single"/>
        </w:rPr>
        <w:t xml:space="preserve"> servizio nello stesso ente</w:t>
      </w:r>
      <w:r w:rsidR="00A04ACC">
        <w:rPr>
          <w:rFonts w:ascii="Bookman Old Style" w:hAnsi="Bookman Old Style"/>
        </w:rPr>
        <w:t xml:space="preserve"> che bandisce il concorso.</w:t>
      </w:r>
    </w:p>
    <w:p w14:paraId="578556F2" w14:textId="77777777" w:rsidR="00071951" w:rsidRDefault="00071951" w:rsidP="00006C06">
      <w:pPr>
        <w:jc w:val="both"/>
        <w:rPr>
          <w:rFonts w:ascii="Bookman Old Style" w:hAnsi="Bookman Old Style"/>
        </w:rPr>
      </w:pPr>
    </w:p>
    <w:p w14:paraId="1991C05F" w14:textId="1890CB03" w:rsidR="00071951" w:rsidRDefault="00071951" w:rsidP="000C75B5">
      <w:pPr>
        <w:pStyle w:val="Titolo2"/>
        <w:jc w:val="both"/>
        <w:rPr>
          <w:rFonts w:ascii="Bookman Old Style" w:eastAsiaTheme="minorHAnsi" w:hAnsi="Bookman Old Style" w:cs="Aptos"/>
          <w:b/>
          <w:color w:val="0070C0"/>
          <w:kern w:val="0"/>
          <w:sz w:val="22"/>
          <w:szCs w:val="22"/>
          <w14:ligatures w14:val="none"/>
        </w:rPr>
      </w:pPr>
      <w:r w:rsidRPr="00071951">
        <w:rPr>
          <w:rFonts w:ascii="Bookman Old Style" w:eastAsiaTheme="minorHAnsi" w:hAnsi="Bookman Old Style" w:cs="Aptos"/>
          <w:b/>
          <w:color w:val="0070C0"/>
          <w:kern w:val="0"/>
          <w:sz w:val="22"/>
          <w:szCs w:val="22"/>
          <w14:ligatures w14:val="none"/>
        </w:rPr>
        <w:t>Premialità per servizio presso amministrazioni pubbliche per l’attuazione del PNRR</w:t>
      </w:r>
      <w:r>
        <w:rPr>
          <w:rFonts w:ascii="Bookman Old Style" w:eastAsiaTheme="minorHAnsi" w:hAnsi="Bookman Old Style" w:cs="Aptos"/>
          <w:b/>
          <w:color w:val="0070C0"/>
          <w:kern w:val="0"/>
          <w:sz w:val="22"/>
          <w:szCs w:val="22"/>
          <w14:ligatures w14:val="none"/>
        </w:rPr>
        <w:t xml:space="preserve"> (Art. 4, comma 2-bis)</w:t>
      </w:r>
    </w:p>
    <w:p w14:paraId="0616291F" w14:textId="67B9576B" w:rsidR="00071951" w:rsidRDefault="00986BF1" w:rsidP="00986BF1">
      <w:pPr>
        <w:jc w:val="both"/>
        <w:rPr>
          <w:rFonts w:ascii="Bookman Old Style" w:hAnsi="Bookman Old Style"/>
        </w:rPr>
      </w:pPr>
      <w:r w:rsidRPr="00363E2B">
        <w:rPr>
          <w:rFonts w:ascii="Bookman Old Style" w:hAnsi="Bookman Old Style"/>
        </w:rPr>
        <w:t>La norma</w:t>
      </w:r>
      <w:r w:rsidRPr="00FB1777">
        <w:rPr>
          <w:rFonts w:ascii="Bookman Old Style" w:hAnsi="Bookman Old Style"/>
        </w:rPr>
        <w:t>, introdott</w:t>
      </w:r>
      <w:r>
        <w:rPr>
          <w:rFonts w:ascii="Bookman Old Style" w:hAnsi="Bookman Old Style"/>
        </w:rPr>
        <w:t>a</w:t>
      </w:r>
      <w:r w:rsidRPr="00FB1777">
        <w:rPr>
          <w:rFonts w:ascii="Bookman Old Style" w:hAnsi="Bookman Old Style"/>
        </w:rPr>
        <w:t xml:space="preserve"> </w:t>
      </w:r>
      <w:r w:rsidR="00556804">
        <w:rPr>
          <w:rFonts w:ascii="Bookman Old Style" w:hAnsi="Bookman Old Style"/>
        </w:rPr>
        <w:t>durante l’esame parlamentare</w:t>
      </w:r>
      <w:r w:rsidRPr="00FB1777">
        <w:rPr>
          <w:rFonts w:ascii="Bookman Old Style" w:hAnsi="Bookman Old Style"/>
        </w:rPr>
        <w:t>,</w:t>
      </w:r>
      <w:r w:rsidRPr="00986BF1">
        <w:rPr>
          <w:rFonts w:ascii="Bookman Old Style" w:hAnsi="Bookman Old Style"/>
        </w:rPr>
        <w:t xml:space="preserve"> riconosce una premialità a coloro che hanno prestato servizio presso le PA per l’attuazione del PNRR, ai fini della valutazione della esperienza acquisita, nell'ambito delle procedure concorsuali delle pubbliche amministrazioni.</w:t>
      </w:r>
    </w:p>
    <w:p w14:paraId="44CBA0C4" w14:textId="77777777" w:rsidR="00986BF1" w:rsidRPr="00986BF1" w:rsidRDefault="00986BF1" w:rsidP="00071951">
      <w:pPr>
        <w:rPr>
          <w:rFonts w:ascii="Bookman Old Style" w:hAnsi="Bookman Old Style"/>
        </w:rPr>
      </w:pPr>
    </w:p>
    <w:p w14:paraId="79AC6C0F" w14:textId="3BB9BFF1" w:rsidR="00863275" w:rsidRPr="004667A6" w:rsidRDefault="009620C3" w:rsidP="000C75B5">
      <w:pPr>
        <w:pStyle w:val="Titolo2"/>
        <w:jc w:val="both"/>
        <w:rPr>
          <w:rFonts w:ascii="Bookman Old Style" w:eastAsiaTheme="minorHAnsi" w:hAnsi="Bookman Old Style" w:cs="Aptos"/>
          <w:b/>
          <w:color w:val="0070C0"/>
          <w:kern w:val="0"/>
          <w:sz w:val="22"/>
          <w:szCs w:val="22"/>
          <w14:ligatures w14:val="none"/>
        </w:rPr>
      </w:pPr>
      <w:r w:rsidRPr="004667A6">
        <w:rPr>
          <w:rFonts w:ascii="Bookman Old Style" w:eastAsiaTheme="minorHAnsi" w:hAnsi="Bookman Old Style" w:cs="Aptos"/>
          <w:b/>
          <w:color w:val="0070C0"/>
          <w:kern w:val="0"/>
          <w:sz w:val="22"/>
          <w:szCs w:val="22"/>
          <w14:ligatures w14:val="none"/>
        </w:rPr>
        <w:t>Sospensione de</w:t>
      </w:r>
      <w:r w:rsidR="008868A3" w:rsidRPr="004667A6">
        <w:rPr>
          <w:rFonts w:ascii="Bookman Old Style" w:eastAsiaTheme="minorHAnsi" w:hAnsi="Bookman Old Style" w:cs="Aptos"/>
          <w:b/>
          <w:color w:val="0070C0"/>
          <w:kern w:val="0"/>
          <w:sz w:val="22"/>
          <w:szCs w:val="22"/>
          <w14:ligatures w14:val="none"/>
        </w:rPr>
        <w:t>lle limitazioni al numero di idonei in graduatoria per gli anni 2024 e 2025</w:t>
      </w:r>
      <w:r w:rsidR="00B64F4E" w:rsidRPr="004667A6">
        <w:rPr>
          <w:rFonts w:ascii="Bookman Old Style" w:eastAsiaTheme="minorHAnsi" w:hAnsi="Bookman Old Style" w:cs="Aptos"/>
          <w:b/>
          <w:color w:val="0070C0"/>
          <w:kern w:val="0"/>
          <w:sz w:val="22"/>
          <w:szCs w:val="22"/>
          <w14:ligatures w14:val="none"/>
        </w:rPr>
        <w:t xml:space="preserve"> (Art. 4, comma 9)</w:t>
      </w:r>
    </w:p>
    <w:p w14:paraId="5A753CEF" w14:textId="0633761B" w:rsidR="00086B2F" w:rsidRDefault="000F7091" w:rsidP="00006C06">
      <w:pPr>
        <w:jc w:val="both"/>
        <w:rPr>
          <w:rFonts w:ascii="Bookman Old Style" w:hAnsi="Bookman Old Style"/>
        </w:rPr>
      </w:pPr>
      <w:r w:rsidRPr="35C6A94A">
        <w:rPr>
          <w:rFonts w:ascii="Bookman Old Style" w:hAnsi="Bookman Old Style"/>
        </w:rPr>
        <w:t xml:space="preserve">Un’ulteriore importante previsione in materia di </w:t>
      </w:r>
      <w:r w:rsidR="006579BD" w:rsidRPr="35C6A94A">
        <w:rPr>
          <w:rFonts w:ascii="Bookman Old Style" w:hAnsi="Bookman Old Style"/>
        </w:rPr>
        <w:t xml:space="preserve">graduatorie concorsuali è stata introdotta con </w:t>
      </w:r>
      <w:r w:rsidR="00F8100A" w:rsidRPr="35C6A94A">
        <w:rPr>
          <w:rFonts w:ascii="Bookman Old Style" w:hAnsi="Bookman Old Style"/>
        </w:rPr>
        <w:t>il</w:t>
      </w:r>
      <w:r w:rsidR="006E4569" w:rsidRPr="35C6A94A">
        <w:rPr>
          <w:rFonts w:ascii="Bookman Old Style" w:hAnsi="Bookman Old Style"/>
        </w:rPr>
        <w:t xml:space="preserve"> comma 9</w:t>
      </w:r>
      <w:r w:rsidR="008868A3" w:rsidRPr="35C6A94A">
        <w:rPr>
          <w:rFonts w:ascii="Bookman Old Style" w:hAnsi="Bookman Old Style"/>
        </w:rPr>
        <w:t xml:space="preserve"> dell’art. 4</w:t>
      </w:r>
      <w:r w:rsidR="006579BD" w:rsidRPr="35C6A94A">
        <w:rPr>
          <w:rFonts w:ascii="Bookman Old Style" w:hAnsi="Bookman Old Style"/>
        </w:rPr>
        <w:t xml:space="preserve">: </w:t>
      </w:r>
      <w:r w:rsidR="006E4569" w:rsidRPr="35C6A94A">
        <w:rPr>
          <w:rFonts w:ascii="Bookman Old Style" w:hAnsi="Bookman Old Style"/>
        </w:rPr>
        <w:t xml:space="preserve">viene </w:t>
      </w:r>
      <w:r w:rsidR="006579BD" w:rsidRPr="35C6A94A">
        <w:rPr>
          <w:rFonts w:ascii="Bookman Old Style" w:hAnsi="Bookman Old Style"/>
        </w:rPr>
        <w:t xml:space="preserve">infatti </w:t>
      </w:r>
      <w:r w:rsidR="006E4569" w:rsidRPr="35C6A94A">
        <w:rPr>
          <w:rFonts w:ascii="Bookman Old Style" w:hAnsi="Bookman Old Style"/>
        </w:rPr>
        <w:t>disapplicat</w:t>
      </w:r>
      <w:r w:rsidR="00086B2F" w:rsidRPr="35C6A94A">
        <w:rPr>
          <w:rFonts w:ascii="Bookman Old Style" w:hAnsi="Bookman Old Style"/>
        </w:rPr>
        <w:t>o</w:t>
      </w:r>
      <w:r w:rsidR="006E4569" w:rsidRPr="35C6A94A">
        <w:rPr>
          <w:rFonts w:ascii="Bookman Old Style" w:hAnsi="Bookman Old Style"/>
        </w:rPr>
        <w:t xml:space="preserve"> </w:t>
      </w:r>
      <w:r w:rsidR="008158FA" w:rsidRPr="35C6A94A">
        <w:rPr>
          <w:rFonts w:ascii="Bookman Old Style" w:hAnsi="Bookman Old Style"/>
        </w:rPr>
        <w:t xml:space="preserve">per tutte le graduatorie approvate negli anni 2024 e 2025 </w:t>
      </w:r>
      <w:r w:rsidR="00086B2F" w:rsidRPr="35C6A94A">
        <w:rPr>
          <w:rFonts w:ascii="Bookman Old Style" w:hAnsi="Bookman Old Style"/>
        </w:rPr>
        <w:t>l’obbligo di limitare il numero degli idonei in graduatoria al 20% dei posti messi a concorso</w:t>
      </w:r>
      <w:r w:rsidR="00267205" w:rsidRPr="35C6A94A">
        <w:rPr>
          <w:rFonts w:ascii="Bookman Old Style" w:hAnsi="Bookman Old Style"/>
        </w:rPr>
        <w:t xml:space="preserve">. </w:t>
      </w:r>
      <w:r w:rsidR="00C20EB8" w:rsidRPr="35C6A94A">
        <w:rPr>
          <w:rFonts w:ascii="Bookman Old Style" w:hAnsi="Bookman Old Style"/>
          <w:b/>
          <w:bCs/>
        </w:rPr>
        <w:t>È</w:t>
      </w:r>
      <w:r w:rsidR="00267205" w:rsidRPr="35C6A94A">
        <w:rPr>
          <w:rFonts w:ascii="Bookman Old Style" w:hAnsi="Bookman Old Style"/>
          <w:b/>
          <w:bCs/>
        </w:rPr>
        <w:t xml:space="preserve"> stata</w:t>
      </w:r>
      <w:r w:rsidR="00C20EB8" w:rsidRPr="35C6A94A">
        <w:rPr>
          <w:rFonts w:ascii="Bookman Old Style" w:hAnsi="Bookman Old Style"/>
          <w:b/>
          <w:bCs/>
        </w:rPr>
        <w:t>,</w:t>
      </w:r>
      <w:r w:rsidR="00267205" w:rsidRPr="35C6A94A">
        <w:rPr>
          <w:rFonts w:ascii="Bookman Old Style" w:hAnsi="Bookman Old Style"/>
          <w:b/>
          <w:bCs/>
        </w:rPr>
        <w:t xml:space="preserve"> quindi</w:t>
      </w:r>
      <w:r w:rsidR="00C20EB8" w:rsidRPr="35C6A94A">
        <w:rPr>
          <w:rFonts w:ascii="Bookman Old Style" w:hAnsi="Bookman Old Style"/>
          <w:b/>
          <w:bCs/>
        </w:rPr>
        <w:t>,</w:t>
      </w:r>
      <w:r w:rsidR="00267205" w:rsidRPr="35C6A94A">
        <w:rPr>
          <w:rFonts w:ascii="Bookman Old Style" w:hAnsi="Bookman Old Style"/>
          <w:b/>
          <w:bCs/>
        </w:rPr>
        <w:t xml:space="preserve"> accolta la specifica richiesta dell’ANCI, volta a </w:t>
      </w:r>
      <w:r w:rsidR="00EB2DAB" w:rsidRPr="35C6A94A">
        <w:rPr>
          <w:rFonts w:ascii="Bookman Old Style" w:hAnsi="Bookman Old Style"/>
          <w:b/>
          <w:bCs/>
        </w:rPr>
        <w:t xml:space="preserve">ridurre gli oneri </w:t>
      </w:r>
      <w:proofErr w:type="spellStart"/>
      <w:r w:rsidR="00EB2DAB" w:rsidRPr="35C6A94A">
        <w:rPr>
          <w:rFonts w:ascii="Bookman Old Style" w:hAnsi="Bookman Old Style"/>
          <w:b/>
          <w:bCs/>
        </w:rPr>
        <w:t>ade</w:t>
      </w:r>
      <w:r w:rsidR="00401DAC">
        <w:rPr>
          <w:rFonts w:ascii="Bookman Old Style" w:hAnsi="Bookman Old Style"/>
          <w:b/>
          <w:bCs/>
        </w:rPr>
        <w:t>m</w:t>
      </w:r>
      <w:r w:rsidR="00EB2DAB" w:rsidRPr="35C6A94A">
        <w:rPr>
          <w:rFonts w:ascii="Bookman Old Style" w:hAnsi="Bookman Old Style"/>
          <w:b/>
          <w:bCs/>
        </w:rPr>
        <w:t>pimentali</w:t>
      </w:r>
      <w:proofErr w:type="spellEnd"/>
      <w:r w:rsidR="00EB2DAB" w:rsidRPr="35C6A94A">
        <w:rPr>
          <w:rFonts w:ascii="Bookman Old Style" w:hAnsi="Bookman Old Style"/>
          <w:b/>
          <w:bCs/>
        </w:rPr>
        <w:t xml:space="preserve"> per i </w:t>
      </w:r>
      <w:r w:rsidR="00B64F4E" w:rsidRPr="35C6A94A">
        <w:rPr>
          <w:rFonts w:ascii="Bookman Old Style" w:hAnsi="Bookman Old Style"/>
          <w:b/>
          <w:bCs/>
        </w:rPr>
        <w:t>C</w:t>
      </w:r>
      <w:r w:rsidR="00EB2DAB" w:rsidRPr="35C6A94A">
        <w:rPr>
          <w:rFonts w:ascii="Bookman Old Style" w:hAnsi="Bookman Old Style"/>
          <w:b/>
          <w:bCs/>
        </w:rPr>
        <w:t>omuni</w:t>
      </w:r>
      <w:r w:rsidR="001731EA" w:rsidRPr="35C6A94A">
        <w:rPr>
          <w:rFonts w:ascii="Bookman Old Style" w:hAnsi="Bookman Old Style"/>
          <w:b/>
          <w:bCs/>
        </w:rPr>
        <w:t>,</w:t>
      </w:r>
      <w:r w:rsidR="006624C0" w:rsidRPr="35C6A94A">
        <w:rPr>
          <w:rFonts w:ascii="Bookman Old Style" w:hAnsi="Bookman Old Style"/>
          <w:b/>
          <w:bCs/>
        </w:rPr>
        <w:t xml:space="preserve"> in una delicata fase </w:t>
      </w:r>
      <w:r w:rsidR="005538CE" w:rsidRPr="35C6A94A">
        <w:rPr>
          <w:rFonts w:ascii="Bookman Old Style" w:hAnsi="Bookman Old Style"/>
          <w:b/>
          <w:bCs/>
        </w:rPr>
        <w:t>caratterizzata</w:t>
      </w:r>
      <w:r w:rsidR="006624C0" w:rsidRPr="35C6A94A">
        <w:rPr>
          <w:rFonts w:ascii="Bookman Old Style" w:hAnsi="Bookman Old Style"/>
          <w:b/>
          <w:bCs/>
        </w:rPr>
        <w:t xml:space="preserve"> dalla scarsa attrattività dell’impiego negli enti locali</w:t>
      </w:r>
      <w:r w:rsidR="006624C0" w:rsidRPr="35C6A94A">
        <w:rPr>
          <w:rFonts w:ascii="Bookman Old Style" w:hAnsi="Bookman Old Style"/>
        </w:rPr>
        <w:t>.</w:t>
      </w:r>
    </w:p>
    <w:p w14:paraId="710536EC" w14:textId="185A358B" w:rsidR="002B5D62" w:rsidRDefault="00556804" w:rsidP="00B82C3E">
      <w:pPr>
        <w:jc w:val="both"/>
        <w:rPr>
          <w:rFonts w:ascii="Bookman Old Style" w:hAnsi="Bookman Old Style"/>
        </w:rPr>
      </w:pPr>
      <w:r>
        <w:rPr>
          <w:rFonts w:ascii="Bookman Old Style" w:hAnsi="Bookman Old Style"/>
        </w:rPr>
        <w:t>Il Parlamento</w:t>
      </w:r>
      <w:r w:rsidR="0ECF0408" w:rsidRPr="005431F3">
        <w:rPr>
          <w:rFonts w:ascii="Bookman Old Style" w:hAnsi="Bookman Old Style"/>
        </w:rPr>
        <w:t xml:space="preserve"> </w:t>
      </w:r>
      <w:r>
        <w:rPr>
          <w:rFonts w:ascii="Bookman Old Style" w:hAnsi="Bookman Old Style"/>
        </w:rPr>
        <w:t xml:space="preserve">ha accolto </w:t>
      </w:r>
      <w:r w:rsidR="0ECF0408" w:rsidRPr="005431F3">
        <w:rPr>
          <w:rFonts w:ascii="Bookman Old Style" w:hAnsi="Bookman Old Style"/>
        </w:rPr>
        <w:t>l’emendamento</w:t>
      </w:r>
      <w:r w:rsidR="0ECF0408" w:rsidRPr="005431F3">
        <w:rPr>
          <w:rFonts w:ascii="Bookman Old Style" w:hAnsi="Bookman Old Style"/>
          <w:b/>
          <w:bCs/>
        </w:rPr>
        <w:t xml:space="preserve"> richiesto dall’ANCI</w:t>
      </w:r>
      <w:r w:rsidR="0ECF0408" w:rsidRPr="005431F3">
        <w:rPr>
          <w:rFonts w:ascii="Bookman Old Style" w:hAnsi="Bookman Old Style"/>
        </w:rPr>
        <w:t xml:space="preserve"> </w:t>
      </w:r>
      <w:r w:rsidR="004620B5" w:rsidRPr="005431F3">
        <w:rPr>
          <w:rFonts w:ascii="Bookman Old Style" w:hAnsi="Bookman Old Style"/>
        </w:rPr>
        <w:t>volto a</w:t>
      </w:r>
      <w:r w:rsidR="0ECF0408" w:rsidRPr="005431F3">
        <w:rPr>
          <w:rFonts w:ascii="Bookman Old Style" w:hAnsi="Bookman Old Style"/>
        </w:rPr>
        <w:t xml:space="preserve"> specificare che la sospensione delle limitazioni al numero de</w:t>
      </w:r>
      <w:r w:rsidR="052FBEBC" w:rsidRPr="005431F3">
        <w:rPr>
          <w:rFonts w:ascii="Bookman Old Style" w:hAnsi="Bookman Old Style"/>
        </w:rPr>
        <w:t xml:space="preserve">gli idonei nelle graduatorie riguarda </w:t>
      </w:r>
      <w:r w:rsidR="006E15D7">
        <w:rPr>
          <w:rFonts w:ascii="Bookman Old Style" w:hAnsi="Bookman Old Style"/>
        </w:rPr>
        <w:t>altresì</w:t>
      </w:r>
      <w:r w:rsidR="052FBEBC" w:rsidRPr="005431F3">
        <w:rPr>
          <w:rFonts w:ascii="Bookman Old Style" w:hAnsi="Bookman Old Style"/>
        </w:rPr>
        <w:t xml:space="preserve"> tutti i concorsi banditi nel 2025, anche nel caso in cui le variabili connesse alle procedure concorsuali (es: necessità di prove suppletive, eventuali ricorsi etc.) determinino lo slittamento dell’approvazione della graduatoria al 2026. Qu</w:t>
      </w:r>
      <w:r w:rsidR="2EC7FEC7" w:rsidRPr="005431F3">
        <w:rPr>
          <w:rFonts w:ascii="Bookman Old Style" w:hAnsi="Bookman Old Style"/>
        </w:rPr>
        <w:t>e</w:t>
      </w:r>
      <w:r w:rsidR="052FBEBC" w:rsidRPr="005431F3">
        <w:rPr>
          <w:rFonts w:ascii="Bookman Old Style" w:hAnsi="Bookman Old Style"/>
        </w:rPr>
        <w:t xml:space="preserve">sta specificazione </w:t>
      </w:r>
      <w:r w:rsidR="0F67F8C5" w:rsidRPr="005431F3">
        <w:rPr>
          <w:rFonts w:ascii="Bookman Old Style" w:hAnsi="Bookman Old Style"/>
        </w:rPr>
        <w:t xml:space="preserve">è fondamentale per dare </w:t>
      </w:r>
      <w:r w:rsidR="00B82C3E" w:rsidRPr="005431F3">
        <w:rPr>
          <w:rFonts w:ascii="Bookman Old Style" w:hAnsi="Bookman Old Style"/>
        </w:rPr>
        <w:t xml:space="preserve">certezza agli enti in fase di programmazione </w:t>
      </w:r>
      <w:r w:rsidR="3E37849C" w:rsidRPr="005431F3">
        <w:rPr>
          <w:rFonts w:ascii="Bookman Old Style" w:hAnsi="Bookman Old Style"/>
        </w:rPr>
        <w:t>dei piani assunzionali per il 2025.</w:t>
      </w:r>
      <w:r w:rsidR="00B82C3E" w:rsidRPr="005431F3">
        <w:rPr>
          <w:rFonts w:ascii="Bookman Old Style" w:hAnsi="Bookman Old Style"/>
        </w:rPr>
        <w:t xml:space="preserve"> </w:t>
      </w:r>
    </w:p>
    <w:p w14:paraId="356121FF" w14:textId="77777777" w:rsidR="00A3361C" w:rsidRDefault="00A3361C" w:rsidP="00B82C3E">
      <w:pPr>
        <w:jc w:val="both"/>
        <w:rPr>
          <w:rFonts w:ascii="Bookman Old Style" w:hAnsi="Bookman Old Style"/>
        </w:rPr>
      </w:pPr>
    </w:p>
    <w:p w14:paraId="4C19909B" w14:textId="354F6698" w:rsidR="00A3361C" w:rsidRPr="00A3361C" w:rsidRDefault="00A3361C" w:rsidP="000C75B5">
      <w:pPr>
        <w:pStyle w:val="Titolo2"/>
        <w:jc w:val="both"/>
        <w:rPr>
          <w:rFonts w:ascii="Bookman Old Style" w:eastAsiaTheme="minorHAnsi" w:hAnsi="Bookman Old Style" w:cs="Aptos"/>
          <w:b/>
          <w:color w:val="0070C0"/>
          <w:kern w:val="0"/>
          <w:sz w:val="22"/>
          <w:szCs w:val="22"/>
          <w14:ligatures w14:val="none"/>
        </w:rPr>
      </w:pPr>
      <w:r w:rsidRPr="00A3361C">
        <w:rPr>
          <w:rFonts w:ascii="Bookman Old Style" w:eastAsiaTheme="minorHAnsi" w:hAnsi="Bookman Old Style" w:cs="Aptos"/>
          <w:b/>
          <w:color w:val="0070C0"/>
          <w:kern w:val="0"/>
          <w:sz w:val="22"/>
          <w:szCs w:val="22"/>
          <w14:ligatures w14:val="none"/>
        </w:rPr>
        <w:t xml:space="preserve">Nomina del responsabile per la conservazione e l’uso razionale dell’energia in convenzione con altri </w:t>
      </w:r>
      <w:r w:rsidR="006654AF">
        <w:rPr>
          <w:rFonts w:ascii="Bookman Old Style" w:eastAsiaTheme="minorHAnsi" w:hAnsi="Bookman Old Style" w:cs="Aptos"/>
          <w:b/>
          <w:color w:val="0070C0"/>
          <w:kern w:val="0"/>
          <w:sz w:val="22"/>
          <w:szCs w:val="22"/>
          <w14:ligatures w14:val="none"/>
        </w:rPr>
        <w:t>C</w:t>
      </w:r>
      <w:r w:rsidRPr="00A3361C">
        <w:rPr>
          <w:rFonts w:ascii="Bookman Old Style" w:eastAsiaTheme="minorHAnsi" w:hAnsi="Bookman Old Style" w:cs="Aptos"/>
          <w:b/>
          <w:color w:val="0070C0"/>
          <w:kern w:val="0"/>
          <w:sz w:val="22"/>
          <w:szCs w:val="22"/>
          <w14:ligatures w14:val="none"/>
        </w:rPr>
        <w:t>omuni</w:t>
      </w:r>
      <w:r>
        <w:rPr>
          <w:rFonts w:ascii="Bookman Old Style" w:eastAsiaTheme="minorHAnsi" w:hAnsi="Bookman Old Style" w:cs="Aptos"/>
          <w:b/>
          <w:color w:val="0070C0"/>
          <w:kern w:val="0"/>
          <w:sz w:val="22"/>
          <w:szCs w:val="22"/>
          <w14:ligatures w14:val="none"/>
        </w:rPr>
        <w:t xml:space="preserve"> (</w:t>
      </w:r>
      <w:r w:rsidR="0039451F">
        <w:rPr>
          <w:rFonts w:ascii="Bookman Old Style" w:eastAsiaTheme="minorHAnsi" w:hAnsi="Bookman Old Style" w:cs="Aptos"/>
          <w:b/>
          <w:color w:val="0070C0"/>
          <w:kern w:val="0"/>
          <w:sz w:val="22"/>
          <w:szCs w:val="22"/>
          <w14:ligatures w14:val="none"/>
        </w:rPr>
        <w:t>A</w:t>
      </w:r>
      <w:r>
        <w:rPr>
          <w:rFonts w:ascii="Bookman Old Style" w:eastAsiaTheme="minorHAnsi" w:hAnsi="Bookman Old Style" w:cs="Aptos"/>
          <w:b/>
          <w:color w:val="0070C0"/>
          <w:kern w:val="0"/>
          <w:sz w:val="22"/>
          <w:szCs w:val="22"/>
          <w14:ligatures w14:val="none"/>
        </w:rPr>
        <w:t>rt</w:t>
      </w:r>
      <w:r w:rsidR="0039451F">
        <w:rPr>
          <w:rFonts w:ascii="Bookman Old Style" w:eastAsiaTheme="minorHAnsi" w:hAnsi="Bookman Old Style" w:cs="Aptos"/>
          <w:b/>
          <w:color w:val="0070C0"/>
          <w:kern w:val="0"/>
          <w:sz w:val="22"/>
          <w:szCs w:val="22"/>
          <w14:ligatures w14:val="none"/>
        </w:rPr>
        <w:t>. 6-ter)</w:t>
      </w:r>
    </w:p>
    <w:p w14:paraId="30FE59D9" w14:textId="3BFD50AC" w:rsidR="00335FE8" w:rsidRDefault="000B7391" w:rsidP="00335FE8">
      <w:pPr>
        <w:spacing w:after="0" w:line="240" w:lineRule="auto"/>
        <w:jc w:val="both"/>
        <w:rPr>
          <w:rFonts w:ascii="Bookman Old Style" w:hAnsi="Bookman Old Style"/>
        </w:rPr>
      </w:pPr>
      <w:r>
        <w:rPr>
          <w:rFonts w:ascii="Bookman Old Style" w:hAnsi="Bookman Old Style"/>
        </w:rPr>
        <w:t>Il Parlamento ha</w:t>
      </w:r>
      <w:r w:rsidR="00335FE8" w:rsidRPr="005431F3">
        <w:rPr>
          <w:rFonts w:ascii="Bookman Old Style" w:hAnsi="Bookman Old Style"/>
        </w:rPr>
        <w:t xml:space="preserve"> approvato </w:t>
      </w:r>
      <w:r w:rsidR="00797E47">
        <w:rPr>
          <w:rFonts w:ascii="Bookman Old Style" w:hAnsi="Bookman Old Style"/>
        </w:rPr>
        <w:t>la norma</w:t>
      </w:r>
      <w:r w:rsidR="00335FE8" w:rsidRPr="005431F3">
        <w:rPr>
          <w:rFonts w:ascii="Bookman Old Style" w:hAnsi="Bookman Old Style"/>
          <w:b/>
          <w:bCs/>
        </w:rPr>
        <w:t xml:space="preserve"> richiest</w:t>
      </w:r>
      <w:r w:rsidR="00797E47">
        <w:rPr>
          <w:rFonts w:ascii="Bookman Old Style" w:hAnsi="Bookman Old Style"/>
          <w:b/>
          <w:bCs/>
        </w:rPr>
        <w:t>a</w:t>
      </w:r>
      <w:r w:rsidR="00335FE8" w:rsidRPr="005431F3">
        <w:rPr>
          <w:rFonts w:ascii="Bookman Old Style" w:hAnsi="Bookman Old Style"/>
          <w:b/>
          <w:bCs/>
        </w:rPr>
        <w:t xml:space="preserve"> dall’ANCI</w:t>
      </w:r>
      <w:r w:rsidR="00335FE8" w:rsidRPr="005431F3">
        <w:rPr>
          <w:rFonts w:ascii="Bookman Old Style" w:hAnsi="Bookman Old Style"/>
        </w:rPr>
        <w:t xml:space="preserve"> </w:t>
      </w:r>
      <w:r w:rsidR="00426F18">
        <w:rPr>
          <w:rFonts w:ascii="Bookman Old Style" w:hAnsi="Bookman Old Style"/>
        </w:rPr>
        <w:t>che</w:t>
      </w:r>
      <w:r w:rsidR="002656EB">
        <w:rPr>
          <w:rFonts w:ascii="Bookman Old Style" w:hAnsi="Bookman Old Style"/>
        </w:rPr>
        <w:t xml:space="preserve"> </w:t>
      </w:r>
      <w:r w:rsidR="002656EB" w:rsidRPr="002656EB">
        <w:rPr>
          <w:rFonts w:ascii="Bookman Old Style" w:hAnsi="Bookman Old Style"/>
        </w:rPr>
        <w:t xml:space="preserve">prevede che i </w:t>
      </w:r>
      <w:r w:rsidR="002656EB">
        <w:rPr>
          <w:rFonts w:ascii="Bookman Old Style" w:hAnsi="Bookman Old Style"/>
        </w:rPr>
        <w:t>C</w:t>
      </w:r>
      <w:r w:rsidR="002656EB" w:rsidRPr="002656EB">
        <w:rPr>
          <w:rFonts w:ascii="Bookman Old Style" w:hAnsi="Bookman Old Style"/>
        </w:rPr>
        <w:t xml:space="preserve">omuni possano nominare il responsabile per la conservazione e l’uso razionale dell’energie anche in gestione associata con altri </w:t>
      </w:r>
      <w:r w:rsidR="00797E47">
        <w:rPr>
          <w:rFonts w:ascii="Bookman Old Style" w:hAnsi="Bookman Old Style"/>
        </w:rPr>
        <w:t>C</w:t>
      </w:r>
      <w:r w:rsidR="002656EB" w:rsidRPr="002656EB">
        <w:rPr>
          <w:rFonts w:ascii="Bookman Old Style" w:hAnsi="Bookman Old Style"/>
        </w:rPr>
        <w:t>omuni</w:t>
      </w:r>
      <w:r w:rsidR="002656EB">
        <w:rPr>
          <w:rFonts w:ascii="Bookman Old Style" w:hAnsi="Bookman Old Style"/>
        </w:rPr>
        <w:t xml:space="preserve">. </w:t>
      </w:r>
    </w:p>
    <w:p w14:paraId="1ACDF867" w14:textId="77777777" w:rsidR="00797E47" w:rsidRPr="00335FE8" w:rsidRDefault="00797E47" w:rsidP="00335FE8">
      <w:pPr>
        <w:spacing w:after="0" w:line="240" w:lineRule="auto"/>
        <w:jc w:val="both"/>
        <w:rPr>
          <w:rFonts w:ascii="Bookman Old Style" w:hAnsi="Bookman Old Style"/>
        </w:rPr>
      </w:pPr>
    </w:p>
    <w:p w14:paraId="675FDD04" w14:textId="77777777" w:rsidR="00066471" w:rsidRDefault="00066471" w:rsidP="00335FE8">
      <w:pPr>
        <w:spacing w:after="0" w:line="240" w:lineRule="auto"/>
        <w:jc w:val="both"/>
        <w:rPr>
          <w:rFonts w:ascii="Bookman Old Style" w:hAnsi="Bookman Old Style"/>
        </w:rPr>
      </w:pPr>
    </w:p>
    <w:p w14:paraId="4C8F40BC" w14:textId="1DEFB77F" w:rsidR="009F003C" w:rsidRPr="005453ED" w:rsidRDefault="009F003C" w:rsidP="002A70F1">
      <w:pPr>
        <w:jc w:val="both"/>
        <w:rPr>
          <w:rFonts w:ascii="Bookman Old Style" w:hAnsi="Bookman Old Style" w:cs="Aptos"/>
          <w:b/>
          <w:color w:val="0070C0"/>
          <w:kern w:val="0"/>
          <w14:ligatures w14:val="none"/>
        </w:rPr>
      </w:pPr>
      <w:r w:rsidRPr="005453ED">
        <w:rPr>
          <w:rFonts w:ascii="Bookman Old Style" w:hAnsi="Bookman Old Style" w:cs="Aptos"/>
          <w:b/>
          <w:color w:val="0070C0"/>
          <w:kern w:val="0"/>
          <w14:ligatures w14:val="none"/>
        </w:rPr>
        <w:t>Misure urgenti per la funzionalità della Commissione RIPAM</w:t>
      </w:r>
      <w:r w:rsidR="002A70F1" w:rsidRPr="002A70F1">
        <w:t xml:space="preserve"> </w:t>
      </w:r>
      <w:r w:rsidR="002A70F1" w:rsidRPr="002A70F1">
        <w:rPr>
          <w:rFonts w:ascii="Bookman Old Style" w:hAnsi="Bookman Old Style" w:cs="Aptos"/>
          <w:b/>
          <w:color w:val="0070C0"/>
          <w:kern w:val="0"/>
          <w14:ligatures w14:val="none"/>
        </w:rPr>
        <w:t>e</w:t>
      </w:r>
      <w:r w:rsidR="002A70F1">
        <w:rPr>
          <w:rFonts w:ascii="Bookman Old Style" w:hAnsi="Bookman Old Style" w:cs="Aptos"/>
          <w:b/>
          <w:color w:val="0070C0"/>
          <w:kern w:val="0"/>
          <w14:ligatures w14:val="none"/>
        </w:rPr>
        <w:t xml:space="preserve"> </w:t>
      </w:r>
      <w:r w:rsidR="002A70F1" w:rsidRPr="002A70F1">
        <w:rPr>
          <w:rFonts w:ascii="Bookman Old Style" w:hAnsi="Bookman Old Style" w:cs="Aptos"/>
          <w:b/>
          <w:color w:val="0070C0"/>
          <w:kern w:val="0"/>
          <w14:ligatures w14:val="none"/>
        </w:rPr>
        <w:t>della struttura di missione per l’attuazione</w:t>
      </w:r>
      <w:r w:rsidR="002A70F1">
        <w:rPr>
          <w:rFonts w:ascii="Bookman Old Style" w:hAnsi="Bookman Old Style" w:cs="Aptos"/>
          <w:b/>
          <w:color w:val="0070C0"/>
          <w:kern w:val="0"/>
          <w14:ligatures w14:val="none"/>
        </w:rPr>
        <w:t xml:space="preserve"> </w:t>
      </w:r>
      <w:r w:rsidR="002A70F1" w:rsidRPr="002A70F1">
        <w:rPr>
          <w:rFonts w:ascii="Bookman Old Style" w:hAnsi="Bookman Old Style" w:cs="Aptos"/>
          <w:b/>
          <w:color w:val="0070C0"/>
          <w:kern w:val="0"/>
          <w14:ligatures w14:val="none"/>
        </w:rPr>
        <w:t>del Piano Mattei</w:t>
      </w:r>
      <w:r w:rsidR="005453ED">
        <w:rPr>
          <w:rFonts w:ascii="Bookman Old Style" w:hAnsi="Bookman Old Style" w:cs="Aptos"/>
          <w:b/>
          <w:color w:val="0070C0"/>
          <w:kern w:val="0"/>
          <w14:ligatures w14:val="none"/>
        </w:rPr>
        <w:t xml:space="preserve"> (Art. 7)</w:t>
      </w:r>
    </w:p>
    <w:p w14:paraId="4A9953A2" w14:textId="75CFC59D" w:rsidR="00363E2B" w:rsidRPr="00363E2B" w:rsidRDefault="009F003C" w:rsidP="00363E2B">
      <w:pPr>
        <w:pStyle w:val="Paragrafoelenco"/>
        <w:numPr>
          <w:ilvl w:val="0"/>
          <w:numId w:val="1"/>
        </w:numPr>
        <w:jc w:val="both"/>
        <w:rPr>
          <w:rFonts w:ascii="Bookman Old Style" w:hAnsi="Bookman Old Style"/>
        </w:rPr>
      </w:pPr>
      <w:r w:rsidRPr="00BC4DD4">
        <w:rPr>
          <w:rFonts w:ascii="Bookman Old Style" w:hAnsi="Bookman Old Style"/>
          <w:b/>
          <w:bCs/>
        </w:rPr>
        <w:t>S</w:t>
      </w:r>
      <w:r w:rsidR="00351325" w:rsidRPr="00BC4DD4">
        <w:rPr>
          <w:rFonts w:ascii="Bookman Old Style" w:hAnsi="Bookman Old Style"/>
          <w:b/>
          <w:bCs/>
        </w:rPr>
        <w:t xml:space="preserve">upporto allo svolgimento dei concorsi pubblici per i </w:t>
      </w:r>
      <w:r w:rsidR="00466DBE">
        <w:rPr>
          <w:rFonts w:ascii="Bookman Old Style" w:hAnsi="Bookman Old Style"/>
          <w:b/>
          <w:bCs/>
        </w:rPr>
        <w:t>C</w:t>
      </w:r>
      <w:r w:rsidRPr="00BC4DD4">
        <w:rPr>
          <w:rFonts w:ascii="Bookman Old Style" w:hAnsi="Bookman Old Style"/>
          <w:b/>
          <w:bCs/>
        </w:rPr>
        <w:t xml:space="preserve">omuni </w:t>
      </w:r>
      <w:r w:rsidR="00351325" w:rsidRPr="00BC4DD4">
        <w:rPr>
          <w:rFonts w:ascii="Bookman Old Style" w:hAnsi="Bookman Old Style"/>
          <w:b/>
          <w:bCs/>
        </w:rPr>
        <w:t>medi e piccoli</w:t>
      </w:r>
      <w:r w:rsidR="000B1A78">
        <w:rPr>
          <w:rFonts w:ascii="Bookman Old Style" w:hAnsi="Bookman Old Style"/>
          <w:b/>
          <w:bCs/>
        </w:rPr>
        <w:t xml:space="preserve"> (Art. 7, comma 2)</w:t>
      </w:r>
    </w:p>
    <w:p w14:paraId="11FFD821" w14:textId="59F5ED31" w:rsidR="009F003C" w:rsidRPr="00363E2B" w:rsidRDefault="00363E2B" w:rsidP="00363E2B">
      <w:pPr>
        <w:jc w:val="both"/>
        <w:rPr>
          <w:rFonts w:ascii="Bookman Old Style" w:hAnsi="Bookman Old Style"/>
        </w:rPr>
      </w:pPr>
      <w:r w:rsidRPr="00363E2B">
        <w:rPr>
          <w:rFonts w:ascii="Bookman Old Style" w:hAnsi="Bookman Old Style"/>
        </w:rPr>
        <w:t>La norma</w:t>
      </w:r>
      <w:r w:rsidR="007D7A85" w:rsidRPr="00363E2B">
        <w:rPr>
          <w:rFonts w:ascii="Bookman Old Style" w:hAnsi="Bookman Old Style"/>
        </w:rPr>
        <w:t xml:space="preserve"> </w:t>
      </w:r>
      <w:r w:rsidR="001B652A" w:rsidRPr="00363E2B">
        <w:rPr>
          <w:rFonts w:ascii="Bookman Old Style" w:hAnsi="Bookman Old Style"/>
        </w:rPr>
        <w:t>incrementa le risorse a disposizione di Formez PA</w:t>
      </w:r>
      <w:r w:rsidR="0066298E" w:rsidRPr="00363E2B">
        <w:rPr>
          <w:rFonts w:ascii="Bookman Old Style" w:hAnsi="Bookman Old Style"/>
        </w:rPr>
        <w:t xml:space="preserve"> per le attività di supporto </w:t>
      </w:r>
      <w:r w:rsidR="001F2653" w:rsidRPr="00363E2B">
        <w:rPr>
          <w:rFonts w:ascii="Bookman Old Style" w:hAnsi="Bookman Old Style"/>
        </w:rPr>
        <w:t xml:space="preserve">allo svolgimento dei concorsi pubblici per i </w:t>
      </w:r>
      <w:r w:rsidR="00466DBE" w:rsidRPr="00363E2B">
        <w:rPr>
          <w:rFonts w:ascii="Bookman Old Style" w:hAnsi="Bookman Old Style"/>
        </w:rPr>
        <w:t>C</w:t>
      </w:r>
      <w:r w:rsidR="001F2653" w:rsidRPr="00363E2B">
        <w:rPr>
          <w:rFonts w:ascii="Bookman Old Style" w:hAnsi="Bookman Old Style"/>
        </w:rPr>
        <w:t>omuni medi e piccoli</w:t>
      </w:r>
      <w:r w:rsidR="00C47774" w:rsidRPr="00363E2B">
        <w:rPr>
          <w:rFonts w:ascii="Bookman Old Style" w:hAnsi="Bookman Old Style"/>
        </w:rPr>
        <w:t>.</w:t>
      </w:r>
    </w:p>
    <w:p w14:paraId="3A83B9BB" w14:textId="77777777" w:rsidR="009F003C" w:rsidRDefault="009F003C" w:rsidP="00006C06">
      <w:pPr>
        <w:jc w:val="both"/>
        <w:rPr>
          <w:rFonts w:ascii="Bookman Old Style" w:hAnsi="Bookman Old Style"/>
        </w:rPr>
      </w:pPr>
    </w:p>
    <w:p w14:paraId="1908B5F0" w14:textId="173358CE" w:rsidR="008300F6" w:rsidRDefault="008300F6" w:rsidP="002A70F1">
      <w:pPr>
        <w:pStyle w:val="Paragrafoelenco"/>
        <w:numPr>
          <w:ilvl w:val="0"/>
          <w:numId w:val="1"/>
        </w:numPr>
        <w:jc w:val="both"/>
        <w:rPr>
          <w:rFonts w:ascii="Bookman Old Style" w:hAnsi="Bookman Old Style"/>
          <w:b/>
          <w:bCs/>
        </w:rPr>
      </w:pPr>
      <w:r w:rsidRPr="002A70F1">
        <w:rPr>
          <w:rFonts w:ascii="Bookman Old Style" w:hAnsi="Bookman Old Style"/>
          <w:b/>
          <w:bCs/>
        </w:rPr>
        <w:t>Deroga ai requisiti di anzianità per assunzioni dei dirigenti degli enti locali</w:t>
      </w:r>
      <w:r w:rsidR="00507E71" w:rsidRPr="002A70F1">
        <w:rPr>
          <w:rFonts w:ascii="Bookman Old Style" w:hAnsi="Bookman Old Style"/>
          <w:b/>
          <w:bCs/>
        </w:rPr>
        <w:t xml:space="preserve"> (</w:t>
      </w:r>
      <w:r w:rsidR="002A70F1">
        <w:rPr>
          <w:rFonts w:ascii="Bookman Old Style" w:hAnsi="Bookman Old Style"/>
          <w:b/>
          <w:bCs/>
        </w:rPr>
        <w:t xml:space="preserve">Art. 7, comma </w:t>
      </w:r>
      <w:r w:rsidR="0034757E">
        <w:rPr>
          <w:rFonts w:ascii="Bookman Old Style" w:hAnsi="Bookman Old Style"/>
          <w:b/>
          <w:bCs/>
        </w:rPr>
        <w:t>4-ter)</w:t>
      </w:r>
    </w:p>
    <w:p w14:paraId="386B160A" w14:textId="7FB02A86" w:rsidR="0034757E" w:rsidRDefault="00363E2B" w:rsidP="0034757E">
      <w:pPr>
        <w:jc w:val="both"/>
        <w:rPr>
          <w:rFonts w:ascii="Bookman Old Style" w:hAnsi="Bookman Old Style"/>
        </w:rPr>
      </w:pPr>
      <w:r w:rsidRPr="00363E2B">
        <w:rPr>
          <w:rFonts w:ascii="Bookman Old Style" w:hAnsi="Bookman Old Style"/>
        </w:rPr>
        <w:lastRenderedPageBreak/>
        <w:t>La norma</w:t>
      </w:r>
      <w:r w:rsidR="00FB1777" w:rsidRPr="00FB1777">
        <w:rPr>
          <w:rFonts w:ascii="Bookman Old Style" w:hAnsi="Bookman Old Style"/>
        </w:rPr>
        <w:t>, introdott</w:t>
      </w:r>
      <w:r>
        <w:rPr>
          <w:rFonts w:ascii="Bookman Old Style" w:hAnsi="Bookman Old Style"/>
        </w:rPr>
        <w:t>a</w:t>
      </w:r>
      <w:r w:rsidR="00FB1777" w:rsidRPr="00FB1777">
        <w:rPr>
          <w:rFonts w:ascii="Bookman Old Style" w:hAnsi="Bookman Old Style"/>
        </w:rPr>
        <w:t xml:space="preserve"> </w:t>
      </w:r>
      <w:r w:rsidR="000B7391">
        <w:rPr>
          <w:rFonts w:ascii="Bookman Old Style" w:hAnsi="Bookman Old Style"/>
        </w:rPr>
        <w:t>durante l’esame parlamentare</w:t>
      </w:r>
      <w:r w:rsidR="00FB1777" w:rsidRPr="00FB1777">
        <w:rPr>
          <w:rFonts w:ascii="Bookman Old Style" w:hAnsi="Bookman Old Style"/>
        </w:rPr>
        <w:t>, estende agli anni 2025 e 2026 la deroga in materia di requisiti di anzianità di servizio da stabilire nelle procedure di selezione pubblica per l’assunzione con contratto a tempo determinato dei dirigenti degli enti locali di cui all’articolo 8, comma 7-</w:t>
      </w:r>
      <w:r w:rsidR="00FB1777" w:rsidRPr="00FB1777">
        <w:rPr>
          <w:rFonts w:ascii="Bookman Old Style" w:hAnsi="Bookman Old Style"/>
          <w:i/>
          <w:iCs/>
        </w:rPr>
        <w:t>bis</w:t>
      </w:r>
      <w:r w:rsidR="00FB1777" w:rsidRPr="00FB1777">
        <w:rPr>
          <w:rFonts w:ascii="Bookman Old Style" w:hAnsi="Bookman Old Style"/>
        </w:rPr>
        <w:t>, decreto-legge n. 19/202</w:t>
      </w:r>
      <w:r w:rsidR="00A81572">
        <w:rPr>
          <w:rFonts w:ascii="Bookman Old Style" w:hAnsi="Bookman Old Style"/>
        </w:rPr>
        <w:t>, convertito in legge</w:t>
      </w:r>
      <w:r w:rsidR="00521880">
        <w:rPr>
          <w:rFonts w:ascii="Bookman Old Style" w:hAnsi="Bookman Old Style"/>
        </w:rPr>
        <w:t xml:space="preserve"> 29 aprile 2024, n. 56.</w:t>
      </w:r>
    </w:p>
    <w:p w14:paraId="7C91301D" w14:textId="77777777" w:rsidR="00FB1777" w:rsidRPr="00FB1777" w:rsidRDefault="00FB1777" w:rsidP="0034757E">
      <w:pPr>
        <w:jc w:val="both"/>
        <w:rPr>
          <w:rFonts w:ascii="Bookman Old Style" w:hAnsi="Bookman Old Style"/>
        </w:rPr>
      </w:pPr>
    </w:p>
    <w:p w14:paraId="7021B189" w14:textId="28EB4290" w:rsidR="00863275" w:rsidRPr="00BC4DD4" w:rsidRDefault="00AD32F1" w:rsidP="00006C06">
      <w:pPr>
        <w:jc w:val="both"/>
        <w:rPr>
          <w:rFonts w:ascii="Bookman Old Style" w:hAnsi="Bookman Old Style" w:cs="Aptos"/>
          <w:b/>
          <w:color w:val="0070C0"/>
          <w:kern w:val="0"/>
          <w14:ligatures w14:val="none"/>
        </w:rPr>
      </w:pPr>
      <w:r w:rsidRPr="00BC4DD4">
        <w:rPr>
          <w:rFonts w:ascii="Bookman Old Style" w:hAnsi="Bookman Old Style" w:cs="Aptos"/>
          <w:b/>
          <w:color w:val="0070C0"/>
          <w:kern w:val="0"/>
          <w14:ligatures w14:val="none"/>
        </w:rPr>
        <w:t>Misure urgenti per gli enti locali, le regioni e le province autonome di Trento e Bolzano</w:t>
      </w:r>
      <w:r w:rsidR="00BC4DD4">
        <w:rPr>
          <w:rFonts w:ascii="Bookman Old Style" w:hAnsi="Bookman Old Style" w:cs="Aptos"/>
          <w:b/>
          <w:color w:val="0070C0"/>
          <w:kern w:val="0"/>
          <w14:ligatures w14:val="none"/>
        </w:rPr>
        <w:t xml:space="preserve"> (Art. 8)</w:t>
      </w:r>
    </w:p>
    <w:p w14:paraId="69D59916" w14:textId="753D1042" w:rsidR="00AD32F1" w:rsidRPr="00BC4DD4" w:rsidRDefault="008B44D3" w:rsidP="00BC4DD4">
      <w:pPr>
        <w:pStyle w:val="Paragrafoelenco"/>
        <w:numPr>
          <w:ilvl w:val="0"/>
          <w:numId w:val="2"/>
        </w:numPr>
        <w:jc w:val="both"/>
        <w:rPr>
          <w:rFonts w:ascii="Bookman Old Style" w:hAnsi="Bookman Old Style"/>
          <w:b/>
          <w:bCs/>
        </w:rPr>
      </w:pPr>
      <w:r w:rsidRPr="00BC4DD4">
        <w:rPr>
          <w:rFonts w:ascii="Bookman Old Style" w:hAnsi="Bookman Old Style"/>
          <w:b/>
          <w:bCs/>
        </w:rPr>
        <w:t xml:space="preserve">Misure per gli enti locali inclusi nei crateri sismici </w:t>
      </w:r>
      <w:r w:rsidR="0040239E" w:rsidRPr="00BC4DD4">
        <w:rPr>
          <w:rFonts w:ascii="Bookman Old Style" w:hAnsi="Bookman Old Style"/>
          <w:b/>
          <w:bCs/>
        </w:rPr>
        <w:t>del 2009 e del 2016</w:t>
      </w:r>
      <w:r w:rsidR="00F74FA5">
        <w:rPr>
          <w:rFonts w:ascii="Bookman Old Style" w:hAnsi="Bookman Old Style"/>
          <w:b/>
          <w:bCs/>
        </w:rPr>
        <w:t xml:space="preserve"> </w:t>
      </w:r>
      <w:r w:rsidR="00F74FA5" w:rsidRPr="002D3BF1">
        <w:rPr>
          <w:rFonts w:ascii="Bookman Old Style" w:hAnsi="Bookman Old Style"/>
          <w:b/>
          <w:bCs/>
        </w:rPr>
        <w:t>(</w:t>
      </w:r>
      <w:r w:rsidR="00F74FA5">
        <w:rPr>
          <w:rFonts w:ascii="Bookman Old Style" w:hAnsi="Bookman Old Style"/>
          <w:b/>
          <w:bCs/>
        </w:rPr>
        <w:t>A</w:t>
      </w:r>
      <w:r w:rsidR="00F74FA5" w:rsidRPr="002D3BF1">
        <w:rPr>
          <w:rFonts w:ascii="Bookman Old Style" w:hAnsi="Bookman Old Style"/>
          <w:b/>
          <w:bCs/>
        </w:rPr>
        <w:t>rt. 8, comm</w:t>
      </w:r>
      <w:r w:rsidR="00F74FA5">
        <w:rPr>
          <w:rFonts w:ascii="Bookman Old Style" w:hAnsi="Bookman Old Style"/>
          <w:b/>
          <w:bCs/>
        </w:rPr>
        <w:t>i 1 e 2</w:t>
      </w:r>
      <w:r w:rsidR="00F74FA5" w:rsidRPr="002D3BF1">
        <w:rPr>
          <w:rFonts w:ascii="Bookman Old Style" w:hAnsi="Bookman Old Style"/>
          <w:b/>
          <w:bCs/>
        </w:rPr>
        <w:t>)</w:t>
      </w:r>
    </w:p>
    <w:p w14:paraId="4A9255A2" w14:textId="54D807B9" w:rsidR="0040239E" w:rsidRPr="00BC4DD4" w:rsidRDefault="004A6784" w:rsidP="00006C06">
      <w:pPr>
        <w:jc w:val="both"/>
        <w:rPr>
          <w:rFonts w:ascii="Bookman Old Style" w:hAnsi="Bookman Old Style"/>
        </w:rPr>
      </w:pPr>
      <w:r>
        <w:rPr>
          <w:rFonts w:ascii="Bookman Old Style" w:hAnsi="Bookman Old Style"/>
        </w:rPr>
        <w:t>La norma</w:t>
      </w:r>
      <w:r w:rsidR="00F131F4">
        <w:rPr>
          <w:rFonts w:ascii="Bookman Old Style" w:hAnsi="Bookman Old Style"/>
        </w:rPr>
        <w:t xml:space="preserve"> </w:t>
      </w:r>
      <w:r w:rsidR="001722FE" w:rsidRPr="00BC4DD4">
        <w:rPr>
          <w:rFonts w:ascii="Bookman Old Style" w:hAnsi="Bookman Old Style"/>
        </w:rPr>
        <w:t xml:space="preserve">estende a tutti </w:t>
      </w:r>
      <w:r w:rsidR="00D96552" w:rsidRPr="00BC4DD4">
        <w:rPr>
          <w:rFonts w:ascii="Bookman Old Style" w:hAnsi="Bookman Old Style"/>
        </w:rPr>
        <w:t>gli enti locali inclusi nei crateri sismici del 2009 e del 2016, a prescindere dalla rispettiva dimensione demografica, e agli Uffici speciali per la ricostruzione</w:t>
      </w:r>
      <w:r w:rsidR="00F96715">
        <w:rPr>
          <w:rFonts w:ascii="Bookman Old Style" w:hAnsi="Bookman Old Style"/>
        </w:rPr>
        <w:t>,</w:t>
      </w:r>
      <w:r w:rsidR="00D96552" w:rsidRPr="00BC4DD4">
        <w:rPr>
          <w:rFonts w:ascii="Bookman Old Style" w:hAnsi="Bookman Old Style"/>
        </w:rPr>
        <w:t xml:space="preserve"> la possibilità di ricorrere all’istituto del c.d. </w:t>
      </w:r>
      <w:r w:rsidR="00D96552" w:rsidRPr="00FD2002">
        <w:rPr>
          <w:rFonts w:ascii="Bookman Old Style" w:hAnsi="Bookman Old Style"/>
          <w:b/>
          <w:bCs/>
        </w:rPr>
        <w:t>scavalco d’eccedenza</w:t>
      </w:r>
      <w:r w:rsidR="00D96552" w:rsidRPr="00BC4DD4">
        <w:rPr>
          <w:rFonts w:ascii="Bookman Old Style" w:hAnsi="Bookman Old Style"/>
        </w:rPr>
        <w:t xml:space="preserve"> (</w:t>
      </w:r>
      <w:r w:rsidR="00A73A0F" w:rsidRPr="00BC4DD4">
        <w:rPr>
          <w:rFonts w:ascii="Bookman Old Style" w:hAnsi="Bookman Old Style"/>
        </w:rPr>
        <w:t>art. 1, comma 557, L. n. 311/2004)</w:t>
      </w:r>
      <w:r w:rsidR="005004E5">
        <w:rPr>
          <w:rFonts w:ascii="Bookman Old Style" w:hAnsi="Bookman Old Style"/>
        </w:rPr>
        <w:t xml:space="preserve">, </w:t>
      </w:r>
      <w:r w:rsidR="005343B5">
        <w:rPr>
          <w:rFonts w:ascii="Bookman Old Style" w:hAnsi="Bookman Old Style"/>
        </w:rPr>
        <w:t>ossia</w:t>
      </w:r>
      <w:r w:rsidR="005004E5" w:rsidRPr="005004E5">
        <w:rPr>
          <w:rFonts w:ascii="Bookman Old Style" w:hAnsi="Bookman Old Style"/>
        </w:rPr>
        <w:t xml:space="preserve"> di servirsi dell'attività lavorativa di dipendenti a tempo pieno di altre amministrazioni locali.</w:t>
      </w:r>
    </w:p>
    <w:p w14:paraId="0A74A41E" w14:textId="02A6BC49" w:rsidR="00C77EEC" w:rsidRDefault="00A73A0F" w:rsidP="00221210">
      <w:pPr>
        <w:jc w:val="both"/>
        <w:rPr>
          <w:rFonts w:ascii="Bookman Old Style" w:hAnsi="Bookman Old Style"/>
        </w:rPr>
      </w:pPr>
      <w:r w:rsidRPr="00BC4DD4">
        <w:rPr>
          <w:rFonts w:ascii="Bookman Old Style" w:hAnsi="Bookman Old Style"/>
        </w:rPr>
        <w:t>Inoltre</w:t>
      </w:r>
      <w:r w:rsidR="00F96715">
        <w:rPr>
          <w:rFonts w:ascii="Bookman Old Style" w:hAnsi="Bookman Old Style"/>
        </w:rPr>
        <w:t>,</w:t>
      </w:r>
      <w:r w:rsidRPr="00BC4DD4">
        <w:rPr>
          <w:rFonts w:ascii="Bookman Old Style" w:hAnsi="Bookman Old Style"/>
        </w:rPr>
        <w:t xml:space="preserve"> </w:t>
      </w:r>
      <w:r w:rsidR="004A6784">
        <w:rPr>
          <w:rFonts w:ascii="Bookman Old Style" w:hAnsi="Bookman Old Style"/>
        </w:rPr>
        <w:t xml:space="preserve">il correttivo introdotto </w:t>
      </w:r>
      <w:r w:rsidR="000B7391">
        <w:rPr>
          <w:rFonts w:ascii="Bookman Old Style" w:hAnsi="Bookman Old Style"/>
        </w:rPr>
        <w:t>durante l’esame parlamentare</w:t>
      </w:r>
      <w:r w:rsidR="0000629E">
        <w:rPr>
          <w:rFonts w:ascii="Bookman Old Style" w:hAnsi="Bookman Old Style"/>
        </w:rPr>
        <w:t>,</w:t>
      </w:r>
      <w:r w:rsidR="004A0F11" w:rsidRPr="00BC4DD4">
        <w:rPr>
          <w:rFonts w:ascii="Bookman Old Style" w:hAnsi="Bookman Old Style"/>
        </w:rPr>
        <w:t xml:space="preserve"> </w:t>
      </w:r>
      <w:r w:rsidR="00B37397" w:rsidRPr="0000629E">
        <w:rPr>
          <w:rFonts w:ascii="Bookman Old Style" w:hAnsi="Bookman Old Style"/>
          <w:b/>
          <w:bCs/>
        </w:rPr>
        <w:t>fino al 31 dicembre 2027</w:t>
      </w:r>
      <w:r w:rsidR="00B37397" w:rsidRPr="00221210">
        <w:rPr>
          <w:rFonts w:ascii="Bookman Old Style" w:hAnsi="Bookman Old Style"/>
        </w:rPr>
        <w:t>,</w:t>
      </w:r>
      <w:r w:rsidR="00B37397">
        <w:rPr>
          <w:rFonts w:ascii="Bookman Old Style" w:hAnsi="Bookman Old Style"/>
        </w:rPr>
        <w:t xml:space="preserve"> </w:t>
      </w:r>
      <w:r w:rsidR="00242DB9">
        <w:rPr>
          <w:rFonts w:ascii="Bookman Old Style" w:hAnsi="Bookman Old Style"/>
        </w:rPr>
        <w:t xml:space="preserve">prevede la possibilità di nominare il </w:t>
      </w:r>
      <w:r w:rsidR="00242DB9" w:rsidRPr="00280597">
        <w:rPr>
          <w:rFonts w:ascii="Bookman Old Style" w:hAnsi="Bookman Old Style"/>
          <w:b/>
          <w:bCs/>
        </w:rPr>
        <w:t>direttore generale</w:t>
      </w:r>
      <w:r w:rsidR="00242DB9" w:rsidRPr="00221210">
        <w:rPr>
          <w:rFonts w:ascii="Bookman Old Style" w:hAnsi="Bookman Old Style"/>
        </w:rPr>
        <w:t xml:space="preserve"> </w:t>
      </w:r>
      <w:r w:rsidR="00242DB9">
        <w:rPr>
          <w:rFonts w:ascii="Bookman Old Style" w:hAnsi="Bookman Old Style"/>
        </w:rPr>
        <w:t xml:space="preserve">oltre che nei Comuni </w:t>
      </w:r>
      <w:r w:rsidR="00221210" w:rsidRPr="00221210">
        <w:rPr>
          <w:rFonts w:ascii="Bookman Old Style" w:hAnsi="Bookman Old Style"/>
        </w:rPr>
        <w:t>capoluogo di provincia compresi nei crateri</w:t>
      </w:r>
      <w:r w:rsidR="00242DB9">
        <w:rPr>
          <w:rFonts w:ascii="Bookman Old Style" w:hAnsi="Bookman Old Style"/>
        </w:rPr>
        <w:t xml:space="preserve"> 2009 e 2016 </w:t>
      </w:r>
      <w:r w:rsidR="00242DB9" w:rsidRPr="0000629E">
        <w:rPr>
          <w:rFonts w:ascii="Bookman Old Style" w:hAnsi="Bookman Old Style"/>
          <w:b/>
          <w:bCs/>
        </w:rPr>
        <w:t xml:space="preserve">anche </w:t>
      </w:r>
      <w:r w:rsidR="00221210" w:rsidRPr="0000629E">
        <w:rPr>
          <w:rFonts w:ascii="Bookman Old Style" w:hAnsi="Bookman Old Style"/>
          <w:b/>
          <w:bCs/>
        </w:rPr>
        <w:t xml:space="preserve">nei </w:t>
      </w:r>
      <w:r w:rsidR="00B37397" w:rsidRPr="0000629E">
        <w:rPr>
          <w:rFonts w:ascii="Bookman Old Style" w:hAnsi="Bookman Old Style"/>
          <w:b/>
          <w:bCs/>
        </w:rPr>
        <w:t>C</w:t>
      </w:r>
      <w:r w:rsidR="00221210" w:rsidRPr="0000629E">
        <w:rPr>
          <w:rFonts w:ascii="Bookman Old Style" w:hAnsi="Bookman Old Style"/>
          <w:b/>
          <w:bCs/>
        </w:rPr>
        <w:t xml:space="preserve">omuni con popolazione superiore a 70.000 </w:t>
      </w:r>
      <w:r w:rsidR="00280597" w:rsidRPr="0000629E">
        <w:rPr>
          <w:rFonts w:ascii="Bookman Old Style" w:hAnsi="Bookman Old Style"/>
          <w:b/>
          <w:bCs/>
        </w:rPr>
        <w:t xml:space="preserve">abitanti </w:t>
      </w:r>
      <w:r w:rsidR="00221210" w:rsidRPr="0000629E">
        <w:rPr>
          <w:rFonts w:ascii="Bookman Old Style" w:hAnsi="Bookman Old Style"/>
          <w:b/>
          <w:bCs/>
        </w:rPr>
        <w:t>che assicurano interventi funzionali all’attuazione del Giubileo</w:t>
      </w:r>
      <w:r w:rsidR="00712E6F">
        <w:rPr>
          <w:rFonts w:ascii="Bookman Old Style" w:hAnsi="Bookman Old Style"/>
        </w:rPr>
        <w:t>.</w:t>
      </w:r>
    </w:p>
    <w:p w14:paraId="1386CBC2" w14:textId="77777777" w:rsidR="002D3BF1" w:rsidRDefault="002D3BF1" w:rsidP="00221210">
      <w:pPr>
        <w:jc w:val="both"/>
        <w:rPr>
          <w:rFonts w:ascii="Bookman Old Style" w:hAnsi="Bookman Old Style"/>
        </w:rPr>
      </w:pPr>
    </w:p>
    <w:p w14:paraId="56080F6E" w14:textId="35FCC0CE" w:rsidR="002D3BF1" w:rsidRPr="002D3BF1" w:rsidRDefault="002D3BF1" w:rsidP="002D3BF1">
      <w:pPr>
        <w:pStyle w:val="Paragrafoelenco"/>
        <w:numPr>
          <w:ilvl w:val="0"/>
          <w:numId w:val="2"/>
        </w:numPr>
        <w:jc w:val="both"/>
        <w:rPr>
          <w:rFonts w:ascii="Bookman Old Style" w:hAnsi="Bookman Old Style"/>
          <w:b/>
          <w:bCs/>
        </w:rPr>
      </w:pPr>
      <w:r w:rsidRPr="002D3BF1">
        <w:rPr>
          <w:rFonts w:ascii="Bookman Old Style" w:hAnsi="Bookman Old Style"/>
          <w:b/>
          <w:bCs/>
        </w:rPr>
        <w:t xml:space="preserve">Estensione delle stabilizzazioni alle </w:t>
      </w:r>
      <w:r w:rsidR="00242DB9">
        <w:rPr>
          <w:rFonts w:ascii="Bookman Old Style" w:hAnsi="Bookman Old Style"/>
          <w:b/>
          <w:bCs/>
        </w:rPr>
        <w:t>U</w:t>
      </w:r>
      <w:r w:rsidRPr="002D3BF1">
        <w:rPr>
          <w:rFonts w:ascii="Bookman Old Style" w:hAnsi="Bookman Old Style"/>
          <w:b/>
          <w:bCs/>
        </w:rPr>
        <w:t xml:space="preserve">nioni di </w:t>
      </w:r>
      <w:r w:rsidR="00242DB9">
        <w:rPr>
          <w:rFonts w:ascii="Bookman Old Style" w:hAnsi="Bookman Old Style"/>
          <w:b/>
          <w:bCs/>
        </w:rPr>
        <w:t>C</w:t>
      </w:r>
      <w:r w:rsidRPr="002D3BF1">
        <w:rPr>
          <w:rFonts w:ascii="Bookman Old Style" w:hAnsi="Bookman Old Style"/>
          <w:b/>
          <w:bCs/>
        </w:rPr>
        <w:t>omuni (</w:t>
      </w:r>
      <w:r w:rsidR="00F74FA5">
        <w:rPr>
          <w:rFonts w:ascii="Bookman Old Style" w:hAnsi="Bookman Old Style"/>
          <w:b/>
          <w:bCs/>
        </w:rPr>
        <w:t>A</w:t>
      </w:r>
      <w:r w:rsidRPr="002D3BF1">
        <w:rPr>
          <w:rFonts w:ascii="Bookman Old Style" w:hAnsi="Bookman Old Style"/>
          <w:b/>
          <w:bCs/>
        </w:rPr>
        <w:t>rt. 8, comma 3-ter)</w:t>
      </w:r>
    </w:p>
    <w:p w14:paraId="0E44D804" w14:textId="63CC5646" w:rsidR="002D3BF1" w:rsidRDefault="002D3BF1" w:rsidP="002D3BF1">
      <w:pPr>
        <w:jc w:val="both"/>
        <w:rPr>
          <w:rFonts w:ascii="Bookman Old Style" w:hAnsi="Bookman Old Style"/>
        </w:rPr>
      </w:pPr>
      <w:r w:rsidRPr="00D10B1D">
        <w:rPr>
          <w:rFonts w:ascii="Bookman Old Style" w:hAnsi="Bookman Old Style"/>
        </w:rPr>
        <w:t xml:space="preserve">La norma approvata </w:t>
      </w:r>
      <w:r w:rsidR="000805C9">
        <w:rPr>
          <w:rFonts w:ascii="Bookman Old Style" w:hAnsi="Bookman Old Style"/>
        </w:rPr>
        <w:t>durante l’esame parlamentare</w:t>
      </w:r>
      <w:r w:rsidR="006F1F89">
        <w:rPr>
          <w:rFonts w:ascii="Bookman Old Style" w:hAnsi="Bookman Old Style"/>
        </w:rPr>
        <w:t>,</w:t>
      </w:r>
      <w:r w:rsidRPr="00D10B1D">
        <w:rPr>
          <w:rFonts w:ascii="Bookman Old Style" w:hAnsi="Bookman Old Style"/>
        </w:rPr>
        <w:t xml:space="preserve"> estende alle unioni di </w:t>
      </w:r>
      <w:r w:rsidR="006654AF">
        <w:rPr>
          <w:rFonts w:ascii="Bookman Old Style" w:hAnsi="Bookman Old Style"/>
        </w:rPr>
        <w:t>C</w:t>
      </w:r>
      <w:r w:rsidRPr="00D10B1D">
        <w:rPr>
          <w:rFonts w:ascii="Bookman Old Style" w:hAnsi="Bookman Old Style"/>
        </w:rPr>
        <w:t xml:space="preserve">omuni l’ambito di applicazione della disciplina transitoria (art. 3, comma 5, del dl 44/2023) che consente, fino al 31 dicembre 2026 e a determinate condizioni, alle regioni, alle province autonome, alle </w:t>
      </w:r>
      <w:r w:rsidR="006654AF">
        <w:rPr>
          <w:rFonts w:ascii="Bookman Old Style" w:hAnsi="Bookman Old Style"/>
        </w:rPr>
        <w:t>C</w:t>
      </w:r>
      <w:r w:rsidRPr="00D10B1D">
        <w:rPr>
          <w:rFonts w:ascii="Bookman Old Style" w:hAnsi="Bookman Old Style"/>
        </w:rPr>
        <w:t xml:space="preserve">ittà metropolitane e ai </w:t>
      </w:r>
      <w:r w:rsidR="006654AF">
        <w:rPr>
          <w:rFonts w:ascii="Bookman Old Style" w:hAnsi="Bookman Old Style"/>
        </w:rPr>
        <w:t>C</w:t>
      </w:r>
      <w:r w:rsidRPr="00D10B1D">
        <w:rPr>
          <w:rFonts w:ascii="Bookman Old Style" w:hAnsi="Bookman Old Style"/>
        </w:rPr>
        <w:t>omuni la stabilizzazione, nella qualifica già ricoperta, del personale non dirigenziale che abbia maturato almeno trentasei mesi di servizio, anche non continuativi, negli ultimi otto anni, presso l'amministrazione che procede all'assunzione, e che sia stato assunto a tempo determinato a seguito di procedure concorsuali</w:t>
      </w:r>
      <w:r>
        <w:rPr>
          <w:rFonts w:ascii="Bookman Old Style" w:hAnsi="Bookman Old Style"/>
        </w:rPr>
        <w:t>.</w:t>
      </w:r>
    </w:p>
    <w:p w14:paraId="6372F600" w14:textId="0518BE66" w:rsidR="00DA7445" w:rsidRPr="00C77EEC" w:rsidRDefault="00DA7445" w:rsidP="00C77EEC">
      <w:pPr>
        <w:pStyle w:val="Paragrafoelenco"/>
        <w:numPr>
          <w:ilvl w:val="0"/>
          <w:numId w:val="2"/>
        </w:numPr>
        <w:jc w:val="both"/>
        <w:rPr>
          <w:rFonts w:ascii="Bookman Old Style" w:hAnsi="Bookman Old Style"/>
        </w:rPr>
      </w:pPr>
      <w:r w:rsidRPr="00C77EEC">
        <w:rPr>
          <w:rFonts w:ascii="Bookman Old Style" w:hAnsi="Bookman Old Style"/>
          <w:b/>
          <w:bCs/>
        </w:rPr>
        <w:t>Proroga sospensione iscrizione FAL per gli enti locali in dissesto</w:t>
      </w:r>
      <w:r w:rsidR="00B41DDC">
        <w:rPr>
          <w:rFonts w:ascii="Bookman Old Style" w:hAnsi="Bookman Old Style"/>
          <w:b/>
          <w:bCs/>
        </w:rPr>
        <w:t xml:space="preserve"> </w:t>
      </w:r>
      <w:r w:rsidR="00B41DDC" w:rsidRPr="002D3BF1">
        <w:rPr>
          <w:rFonts w:ascii="Bookman Old Style" w:hAnsi="Bookman Old Style"/>
          <w:b/>
          <w:bCs/>
        </w:rPr>
        <w:t xml:space="preserve">(art. 8, comma </w:t>
      </w:r>
      <w:r w:rsidR="00B41DDC">
        <w:rPr>
          <w:rFonts w:ascii="Bookman Old Style" w:hAnsi="Bookman Old Style"/>
          <w:b/>
          <w:bCs/>
        </w:rPr>
        <w:t>6</w:t>
      </w:r>
      <w:r w:rsidR="00B41DDC" w:rsidRPr="002D3BF1">
        <w:rPr>
          <w:rFonts w:ascii="Bookman Old Style" w:hAnsi="Bookman Old Style"/>
          <w:b/>
          <w:bCs/>
        </w:rPr>
        <w:t>)</w:t>
      </w:r>
    </w:p>
    <w:p w14:paraId="4C54440D" w14:textId="03A42D29" w:rsidR="00DA7445" w:rsidRDefault="00DA7445" w:rsidP="00DA7445">
      <w:pPr>
        <w:jc w:val="both"/>
        <w:rPr>
          <w:rFonts w:ascii="Bookman Old Style" w:hAnsi="Bookman Old Style"/>
        </w:rPr>
      </w:pPr>
      <w:r>
        <w:rPr>
          <w:rFonts w:ascii="Bookman Old Style" w:hAnsi="Bookman Old Style"/>
        </w:rPr>
        <w:t>Su</w:t>
      </w:r>
      <w:r w:rsidRPr="00F70E1B">
        <w:rPr>
          <w:rFonts w:ascii="Bookman Old Style" w:hAnsi="Bookman Old Style"/>
          <w:b/>
          <w:bCs/>
        </w:rPr>
        <w:t xml:space="preserve"> richiesta dell’ANCI</w:t>
      </w:r>
      <w:r>
        <w:rPr>
          <w:rFonts w:ascii="Bookman Old Style" w:hAnsi="Bookman Old Style"/>
        </w:rPr>
        <w:t>, la disposizione</w:t>
      </w:r>
      <w:r w:rsidR="00B41DDC">
        <w:rPr>
          <w:rFonts w:ascii="Bookman Old Style" w:hAnsi="Bookman Old Style"/>
        </w:rPr>
        <w:t xml:space="preserve"> </w:t>
      </w:r>
      <w:r w:rsidRPr="00D84FB4">
        <w:rPr>
          <w:rFonts w:ascii="Bookman Old Style" w:hAnsi="Bookman Old Style"/>
        </w:rPr>
        <w:t xml:space="preserve">consente di </w:t>
      </w:r>
      <w:r w:rsidRPr="00383065">
        <w:rPr>
          <w:rFonts w:ascii="Bookman Old Style" w:hAnsi="Bookman Old Style"/>
          <w:b/>
          <w:bCs/>
        </w:rPr>
        <w:t>prorogare al 31 dicembre 2025</w:t>
      </w:r>
      <w:r w:rsidRPr="00D84FB4">
        <w:rPr>
          <w:rFonts w:ascii="Bookman Old Style" w:hAnsi="Bookman Old Style"/>
        </w:rPr>
        <w:t xml:space="preserve"> il termine di applicazione obbligatoria dell’iscrizione del Fondo anticipazione di liquidità</w:t>
      </w:r>
      <w:r>
        <w:rPr>
          <w:rFonts w:ascii="Bookman Old Style" w:hAnsi="Bookman Old Style"/>
        </w:rPr>
        <w:t xml:space="preserve"> (FAL),</w:t>
      </w:r>
      <w:r w:rsidRPr="00D84FB4">
        <w:rPr>
          <w:rFonts w:ascii="Bookman Old Style" w:hAnsi="Bookman Old Style"/>
        </w:rPr>
        <w:t xml:space="preserve"> anche nel corso dell’esercizio del bilancio stabilmente riequilibrato, a seguito di dissesto</w:t>
      </w:r>
      <w:r>
        <w:rPr>
          <w:rFonts w:ascii="Bookman Old Style" w:hAnsi="Bookman Old Style"/>
        </w:rPr>
        <w:t>.</w:t>
      </w:r>
    </w:p>
    <w:p w14:paraId="5FC1FD80" w14:textId="5FB7AA18" w:rsidR="00F925DA" w:rsidRPr="00B41DDC" w:rsidRDefault="00F925DA" w:rsidP="00B41DDC">
      <w:pPr>
        <w:pStyle w:val="Paragrafoelenco"/>
        <w:numPr>
          <w:ilvl w:val="0"/>
          <w:numId w:val="2"/>
        </w:numPr>
        <w:jc w:val="both"/>
        <w:rPr>
          <w:rFonts w:ascii="Bookman Old Style" w:hAnsi="Bookman Old Style"/>
        </w:rPr>
      </w:pPr>
      <w:r>
        <w:rPr>
          <w:rFonts w:ascii="Bookman Old Style" w:hAnsi="Bookman Old Style"/>
          <w:b/>
          <w:bCs/>
        </w:rPr>
        <w:t>Deroga sanzione per enti con piano di riequilibrio approvato</w:t>
      </w:r>
      <w:r w:rsidR="00B41DDC">
        <w:rPr>
          <w:rFonts w:ascii="Bookman Old Style" w:hAnsi="Bookman Old Style"/>
          <w:b/>
          <w:bCs/>
        </w:rPr>
        <w:t xml:space="preserve"> </w:t>
      </w:r>
      <w:r w:rsidR="00B41DDC" w:rsidRPr="002D3BF1">
        <w:rPr>
          <w:rFonts w:ascii="Bookman Old Style" w:hAnsi="Bookman Old Style"/>
          <w:b/>
          <w:bCs/>
        </w:rPr>
        <w:t>(art. 8, comm</w:t>
      </w:r>
      <w:r w:rsidR="00B44A5A">
        <w:rPr>
          <w:rFonts w:ascii="Bookman Old Style" w:hAnsi="Bookman Old Style"/>
          <w:b/>
          <w:bCs/>
        </w:rPr>
        <w:t>i</w:t>
      </w:r>
      <w:r w:rsidR="00B41DDC" w:rsidRPr="002D3BF1">
        <w:rPr>
          <w:rFonts w:ascii="Bookman Old Style" w:hAnsi="Bookman Old Style"/>
          <w:b/>
          <w:bCs/>
        </w:rPr>
        <w:t xml:space="preserve"> </w:t>
      </w:r>
      <w:r w:rsidR="00B41DDC">
        <w:rPr>
          <w:rFonts w:ascii="Bookman Old Style" w:hAnsi="Bookman Old Style"/>
          <w:b/>
          <w:bCs/>
        </w:rPr>
        <w:t>7</w:t>
      </w:r>
      <w:r w:rsidR="00D025C1">
        <w:rPr>
          <w:rFonts w:ascii="Bookman Old Style" w:hAnsi="Bookman Old Style"/>
          <w:b/>
          <w:bCs/>
        </w:rPr>
        <w:t xml:space="preserve"> e 7-bis</w:t>
      </w:r>
      <w:r w:rsidR="00B41DDC" w:rsidRPr="002D3BF1">
        <w:rPr>
          <w:rFonts w:ascii="Bookman Old Style" w:hAnsi="Bookman Old Style"/>
          <w:b/>
          <w:bCs/>
        </w:rPr>
        <w:t>)</w:t>
      </w:r>
    </w:p>
    <w:p w14:paraId="43D002A4" w14:textId="681BBA07" w:rsidR="00C070B1" w:rsidRDefault="000D3F65" w:rsidP="00510A31">
      <w:pPr>
        <w:jc w:val="both"/>
        <w:rPr>
          <w:rFonts w:ascii="Bookman Old Style" w:hAnsi="Bookman Old Style"/>
        </w:rPr>
      </w:pPr>
      <w:r>
        <w:rPr>
          <w:rFonts w:ascii="Bookman Old Style" w:hAnsi="Bookman Old Style"/>
        </w:rPr>
        <w:t>La disposizione</w:t>
      </w:r>
      <w:r w:rsidR="00B41DDC">
        <w:rPr>
          <w:rFonts w:ascii="Bookman Old Style" w:hAnsi="Bookman Old Style"/>
        </w:rPr>
        <w:t xml:space="preserve"> </w:t>
      </w:r>
      <w:r>
        <w:rPr>
          <w:rFonts w:ascii="Bookman Old Style" w:hAnsi="Bookman Old Style"/>
        </w:rPr>
        <w:t xml:space="preserve">ha la finalità di </w:t>
      </w:r>
      <w:r w:rsidR="00422961">
        <w:rPr>
          <w:rFonts w:ascii="Bookman Old Style" w:hAnsi="Bookman Old Style"/>
        </w:rPr>
        <w:t>introdurre una limitazione alla sanzione</w:t>
      </w:r>
      <w:r w:rsidR="00225104">
        <w:rPr>
          <w:rFonts w:ascii="Bookman Old Style" w:hAnsi="Bookman Old Style"/>
        </w:rPr>
        <w:t>,</w:t>
      </w:r>
      <w:r w:rsidR="00422961">
        <w:rPr>
          <w:rFonts w:ascii="Bookman Old Style" w:hAnsi="Bookman Old Style"/>
        </w:rPr>
        <w:t xml:space="preserve"> prevista dall’art. </w:t>
      </w:r>
      <w:r w:rsidR="00F129E5">
        <w:rPr>
          <w:rFonts w:ascii="Bookman Old Style" w:hAnsi="Bookman Old Style"/>
        </w:rPr>
        <w:t>2</w:t>
      </w:r>
      <w:r w:rsidR="00422961">
        <w:rPr>
          <w:rFonts w:ascii="Bookman Old Style" w:hAnsi="Bookman Old Style"/>
        </w:rPr>
        <w:t>48</w:t>
      </w:r>
      <w:r w:rsidR="00000750">
        <w:rPr>
          <w:rFonts w:ascii="Bookman Old Style" w:hAnsi="Bookman Old Style"/>
        </w:rPr>
        <w:t>, comma 5, primo, secondo e terzo periodo del TUEL</w:t>
      </w:r>
      <w:r w:rsidR="00225104">
        <w:rPr>
          <w:rFonts w:ascii="Bookman Old Style" w:hAnsi="Bookman Old Style"/>
        </w:rPr>
        <w:t xml:space="preserve">, ai soli </w:t>
      </w:r>
      <w:r w:rsidR="0029337E">
        <w:rPr>
          <w:rFonts w:ascii="Bookman Old Style" w:hAnsi="Bookman Old Style"/>
        </w:rPr>
        <w:t xml:space="preserve">amministratori che, </w:t>
      </w:r>
      <w:r w:rsidR="0029337E" w:rsidRPr="0029337E">
        <w:rPr>
          <w:rFonts w:ascii="Bookman Old Style" w:hAnsi="Bookman Old Style"/>
          <w:b/>
          <w:bCs/>
          <w:u w:val="single"/>
        </w:rPr>
        <w:t>senza dolo</w:t>
      </w:r>
      <w:r w:rsidR="0029337E">
        <w:rPr>
          <w:rFonts w:ascii="Bookman Old Style" w:hAnsi="Bookman Old Style"/>
        </w:rPr>
        <w:t xml:space="preserve">, abbiano adottato un piano </w:t>
      </w:r>
      <w:r w:rsidR="007C618D">
        <w:rPr>
          <w:rFonts w:ascii="Bookman Old Style" w:hAnsi="Bookman Old Style"/>
        </w:rPr>
        <w:t>di riequilibrio finanziario</w:t>
      </w:r>
      <w:r w:rsidR="0003561E">
        <w:rPr>
          <w:rFonts w:ascii="Bookman Old Style" w:hAnsi="Bookman Old Style"/>
        </w:rPr>
        <w:t xml:space="preserve"> pluriennale, approvato dalla </w:t>
      </w:r>
      <w:proofErr w:type="gramStart"/>
      <w:r w:rsidR="0003561E">
        <w:rPr>
          <w:rFonts w:ascii="Bookman Old Style" w:hAnsi="Bookman Old Style"/>
        </w:rPr>
        <w:t>Corte dei Conti</w:t>
      </w:r>
      <w:proofErr w:type="gramEnd"/>
      <w:r w:rsidR="0003561E">
        <w:rPr>
          <w:rFonts w:ascii="Bookman Old Style" w:hAnsi="Bookman Old Style"/>
        </w:rPr>
        <w:t>.</w:t>
      </w:r>
      <w:r w:rsidR="00510A31" w:rsidRPr="00510A31">
        <w:t xml:space="preserve"> </w:t>
      </w:r>
      <w:r w:rsidR="00D025C1" w:rsidRPr="00513C2D">
        <w:rPr>
          <w:rFonts w:ascii="Bookman Old Style" w:hAnsi="Bookman Old Style"/>
        </w:rPr>
        <w:t xml:space="preserve">Tali </w:t>
      </w:r>
      <w:r w:rsidR="00D025C1">
        <w:t>disposizioni</w:t>
      </w:r>
      <w:r w:rsidR="00510A31" w:rsidRPr="00510A31">
        <w:rPr>
          <w:rFonts w:ascii="Bookman Old Style" w:hAnsi="Bookman Old Style"/>
        </w:rPr>
        <w:t xml:space="preserve"> </w:t>
      </w:r>
      <w:r w:rsidR="003D6663">
        <w:rPr>
          <w:rFonts w:ascii="Bookman Old Style" w:hAnsi="Bookman Old Style"/>
        </w:rPr>
        <w:t>si</w:t>
      </w:r>
      <w:r w:rsidR="00510A31" w:rsidRPr="00510A31">
        <w:rPr>
          <w:rFonts w:ascii="Bookman Old Style" w:hAnsi="Bookman Old Style"/>
        </w:rPr>
        <w:t xml:space="preserve"> applicano anche ai giudizi che, alla data</w:t>
      </w:r>
      <w:r w:rsidR="00510A31">
        <w:rPr>
          <w:rFonts w:ascii="Bookman Old Style" w:hAnsi="Bookman Old Style"/>
        </w:rPr>
        <w:t xml:space="preserve"> </w:t>
      </w:r>
      <w:r w:rsidR="00510A31" w:rsidRPr="00510A31">
        <w:rPr>
          <w:rFonts w:ascii="Bookman Old Style" w:hAnsi="Bookman Old Style"/>
        </w:rPr>
        <w:t>di entrata in vigore del presente decreto,</w:t>
      </w:r>
      <w:r w:rsidR="003D6663">
        <w:rPr>
          <w:rFonts w:ascii="Bookman Old Style" w:hAnsi="Bookman Old Style"/>
        </w:rPr>
        <w:t xml:space="preserve"> </w:t>
      </w:r>
      <w:r w:rsidR="00510A31" w:rsidRPr="00510A31">
        <w:rPr>
          <w:rFonts w:ascii="Bookman Old Style" w:hAnsi="Bookman Old Style"/>
        </w:rPr>
        <w:t>non sono stati ancora definiti con sentenza</w:t>
      </w:r>
      <w:r w:rsidR="003D6663">
        <w:rPr>
          <w:rFonts w:ascii="Bookman Old Style" w:hAnsi="Bookman Old Style"/>
        </w:rPr>
        <w:t xml:space="preserve"> </w:t>
      </w:r>
      <w:r w:rsidR="00510A31" w:rsidRPr="00510A31">
        <w:rPr>
          <w:rFonts w:ascii="Bookman Old Style" w:hAnsi="Bookman Old Style"/>
        </w:rPr>
        <w:t>passata in giudicato.</w:t>
      </w:r>
    </w:p>
    <w:p w14:paraId="78E645C3" w14:textId="77777777" w:rsidR="00B41DDC" w:rsidRDefault="00B41DDC" w:rsidP="00510A31">
      <w:pPr>
        <w:jc w:val="both"/>
        <w:rPr>
          <w:rFonts w:ascii="Bookman Old Style" w:hAnsi="Bookman Old Style"/>
        </w:rPr>
      </w:pPr>
    </w:p>
    <w:p w14:paraId="37A1353A" w14:textId="77777777" w:rsidR="001E6B5A" w:rsidRPr="00B41DDC" w:rsidRDefault="001E6B5A" w:rsidP="001E6B5A">
      <w:pPr>
        <w:pStyle w:val="Paragrafoelenco"/>
        <w:numPr>
          <w:ilvl w:val="0"/>
          <w:numId w:val="2"/>
        </w:numPr>
        <w:jc w:val="both"/>
        <w:rPr>
          <w:rFonts w:ascii="Bookman Old Style" w:hAnsi="Bookman Old Style"/>
          <w:b/>
          <w:bCs/>
        </w:rPr>
      </w:pPr>
      <w:bookmarkStart w:id="1" w:name="_Hlk196211448"/>
      <w:r w:rsidRPr="00B41DDC">
        <w:rPr>
          <w:rFonts w:ascii="Bookman Old Style" w:hAnsi="Bookman Old Style"/>
          <w:b/>
          <w:bCs/>
        </w:rPr>
        <w:t>Medie opere e Rigenerazione urbana (art. 8, commi da 8-bis a 8-quater)</w:t>
      </w:r>
    </w:p>
    <w:bookmarkEnd w:id="1"/>
    <w:p w14:paraId="3E83B355" w14:textId="6BF46946" w:rsidR="001E6B5A" w:rsidRDefault="001E6B5A" w:rsidP="001E6B5A">
      <w:pPr>
        <w:spacing w:after="0"/>
        <w:jc w:val="both"/>
        <w:rPr>
          <w:rFonts w:ascii="Bookman Old Style" w:hAnsi="Bookman Old Style"/>
        </w:rPr>
      </w:pPr>
      <w:r w:rsidRPr="009D6B5D">
        <w:rPr>
          <w:rFonts w:ascii="Bookman Old Style" w:hAnsi="Bookman Old Style"/>
        </w:rPr>
        <w:t xml:space="preserve">La norma, </w:t>
      </w:r>
      <w:r w:rsidRPr="009D6B5D">
        <w:rPr>
          <w:rFonts w:ascii="Bookman Old Style" w:hAnsi="Bookman Old Style"/>
          <w:b/>
          <w:bCs/>
        </w:rPr>
        <w:t>che accoglie alcune richieste di ANCI</w:t>
      </w:r>
      <w:r w:rsidRPr="006F1A79">
        <w:rPr>
          <w:rFonts w:ascii="Bookman Old Style" w:hAnsi="Bookman Old Style"/>
          <w:b/>
          <w:bCs/>
        </w:rPr>
        <w:t>,</w:t>
      </w:r>
      <w:r w:rsidRPr="009D6B5D">
        <w:rPr>
          <w:rFonts w:ascii="Bookman Old Style" w:hAnsi="Bookman Old Style"/>
        </w:rPr>
        <w:t xml:space="preserve"> approvata </w:t>
      </w:r>
      <w:r w:rsidR="000805C9">
        <w:rPr>
          <w:rFonts w:ascii="Bookman Old Style" w:hAnsi="Bookman Old Style"/>
        </w:rPr>
        <w:t>durante l’esame parlamentare</w:t>
      </w:r>
      <w:r w:rsidRPr="009D6B5D">
        <w:rPr>
          <w:rFonts w:ascii="Bookman Old Style" w:hAnsi="Bookman Old Style"/>
        </w:rPr>
        <w:t xml:space="preserve">, prevede una serie di proroghe all’art. 1, comma 143 della lege 145/2018, in materia di aggiudicazioni di lavori per investimenti relativi a opere pubbliche di messa in sicurezza degli edifici e del territorio – </w:t>
      </w:r>
      <w:r w:rsidRPr="00374295">
        <w:rPr>
          <w:rFonts w:ascii="Bookman Old Style" w:hAnsi="Bookman Old Style"/>
          <w:b/>
          <w:bCs/>
        </w:rPr>
        <w:t>cd opere medie</w:t>
      </w:r>
      <w:r w:rsidRPr="009D6B5D">
        <w:rPr>
          <w:rFonts w:ascii="Bookman Old Style" w:hAnsi="Bookman Old Style"/>
        </w:rPr>
        <w:t xml:space="preserve">. </w:t>
      </w:r>
    </w:p>
    <w:p w14:paraId="5D83A5BC" w14:textId="77777777" w:rsidR="001E6B5A" w:rsidRPr="001E6B5A" w:rsidRDefault="001E6B5A" w:rsidP="001E6B5A">
      <w:pPr>
        <w:spacing w:after="0"/>
        <w:jc w:val="both"/>
        <w:rPr>
          <w:rFonts w:ascii="Bookman Old Style" w:hAnsi="Bookman Old Style"/>
        </w:rPr>
      </w:pPr>
      <w:r w:rsidRPr="001E6B5A">
        <w:rPr>
          <w:rFonts w:ascii="Bookman Old Style" w:hAnsi="Bookman Old Style"/>
        </w:rPr>
        <w:t>In primo luogo, aggiornando i termini di aggiudicazione ordinari degli interventi, la norma stabilisce che i tre mesi aggiuntivi, originariamente riconosciuti solo agli Enti che si fossero avvalsi degli istituti della centrale unica di committenza (CUC) o della stazione unica appaltante (SUA), vengano riconosciuti a tutti gli Enti indipendentemente dall’utilizzo o meno dei suddetti istituti. Viene così opportunamente superata l’attuale disparità di trattamento che penalizza gli Enti che svolgono direttamente le funzioni di CUC o SUA, i quali, pur svolgendo direttamente le medesime attività, non beneficiano dell’estensione dei termini stabilita dalla norma.</w:t>
      </w:r>
    </w:p>
    <w:p w14:paraId="1E79FFAE" w14:textId="6ABF60D8" w:rsidR="001E6B5A" w:rsidRPr="009D6B5D" w:rsidRDefault="001E6B5A" w:rsidP="001E6B5A">
      <w:pPr>
        <w:spacing w:after="0"/>
        <w:jc w:val="both"/>
        <w:rPr>
          <w:rFonts w:ascii="Bookman Old Style" w:hAnsi="Bookman Old Style"/>
        </w:rPr>
      </w:pPr>
      <w:r w:rsidRPr="001E6B5A">
        <w:rPr>
          <w:rFonts w:ascii="Bookman Old Style" w:hAnsi="Bookman Old Style"/>
        </w:rPr>
        <w:t xml:space="preserve">In secondo luogo, viene modificato il comma 148-ter, art. 1, della legge n. 145/2018 </w:t>
      </w:r>
      <w:r w:rsidRPr="001E6B5A">
        <w:rPr>
          <w:rFonts w:ascii="Bookman Old Style" w:hAnsi="Bookman Old Style"/>
          <w:b/>
          <w:bCs/>
        </w:rPr>
        <w:t>ampliando le deroghe ivi previste anche ai contributi assegnati nel 2023</w:t>
      </w:r>
      <w:r w:rsidRPr="001E6B5A">
        <w:rPr>
          <w:rFonts w:ascii="Bookman Old Style" w:hAnsi="Bookman Old Style"/>
        </w:rPr>
        <w:t xml:space="preserve"> (DM Interno 28 marzo e 19 maggio 2023), che non sono soggetti a revoca a condizione che l’affidamento dei lavori avvenga entro il 30 giugno 2025. Va precisato che – come anche in precedenti occasioni – per affidamento lavori si deve intendere la data della pubblicazione del bando o dell’invio dell</w:t>
      </w:r>
      <w:r w:rsidR="00D32423">
        <w:rPr>
          <w:rFonts w:ascii="Bookman Old Style" w:hAnsi="Bookman Old Style"/>
        </w:rPr>
        <w:t>a</w:t>
      </w:r>
      <w:r w:rsidRPr="001E6B5A">
        <w:rPr>
          <w:rFonts w:ascii="Bookman Old Style" w:hAnsi="Bookman Old Style"/>
        </w:rPr>
        <w:t xml:space="preserve"> lettera di invito a procedura negoziata, o dell’affidamento diretto.</w:t>
      </w:r>
    </w:p>
    <w:p w14:paraId="49527CA5" w14:textId="77777777" w:rsidR="001E6B5A" w:rsidRPr="009D6B5D" w:rsidRDefault="001E6B5A" w:rsidP="001E6B5A">
      <w:pPr>
        <w:spacing w:after="0"/>
        <w:jc w:val="both"/>
        <w:rPr>
          <w:rFonts w:ascii="Bookman Old Style" w:hAnsi="Bookman Old Style"/>
        </w:rPr>
      </w:pPr>
      <w:r w:rsidRPr="009D6B5D">
        <w:rPr>
          <w:rFonts w:ascii="Bookman Old Style" w:hAnsi="Bookman Old Style"/>
        </w:rPr>
        <w:t>Riguardo</w:t>
      </w:r>
      <w:r>
        <w:rPr>
          <w:rFonts w:ascii="Bookman Old Style" w:hAnsi="Bookman Old Style"/>
        </w:rPr>
        <w:t xml:space="preserve">, </w:t>
      </w:r>
      <w:r w:rsidRPr="009D6B5D">
        <w:rPr>
          <w:rFonts w:ascii="Bookman Old Style" w:hAnsi="Bookman Old Style"/>
        </w:rPr>
        <w:t>invece</w:t>
      </w:r>
      <w:r>
        <w:rPr>
          <w:rFonts w:ascii="Bookman Old Style" w:hAnsi="Bookman Old Style"/>
        </w:rPr>
        <w:t>,</w:t>
      </w:r>
      <w:r w:rsidRPr="009D6B5D">
        <w:rPr>
          <w:rFonts w:ascii="Bookman Old Style" w:hAnsi="Bookman Old Style"/>
        </w:rPr>
        <w:t xml:space="preserve"> i termini per gli investimenti di </w:t>
      </w:r>
      <w:r w:rsidRPr="00374295">
        <w:rPr>
          <w:rFonts w:ascii="Bookman Old Style" w:hAnsi="Bookman Old Style"/>
          <w:b/>
          <w:bCs/>
        </w:rPr>
        <w:t>rigenerazione urbana</w:t>
      </w:r>
      <w:r>
        <w:rPr>
          <w:rFonts w:ascii="Bookman Old Style" w:hAnsi="Bookman Old Style"/>
        </w:rPr>
        <w:t>,</w:t>
      </w:r>
      <w:r w:rsidRPr="009D6B5D">
        <w:rPr>
          <w:rFonts w:ascii="Bookman Old Style" w:hAnsi="Bookman Old Style"/>
        </w:rPr>
        <w:t xml:space="preserve"> di cui alla legge 160 del 2019</w:t>
      </w:r>
      <w:r>
        <w:rPr>
          <w:rFonts w:ascii="Bookman Old Style" w:hAnsi="Bookman Old Style"/>
        </w:rPr>
        <w:t>,</w:t>
      </w:r>
      <w:r w:rsidRPr="009D6B5D">
        <w:rPr>
          <w:rFonts w:ascii="Bookman Old Style" w:hAnsi="Bookman Old Style"/>
        </w:rPr>
        <w:t xml:space="preserve"> vengono prorogati</w:t>
      </w:r>
      <w:r>
        <w:rPr>
          <w:rFonts w:ascii="Bookman Old Style" w:hAnsi="Bookman Old Style"/>
        </w:rPr>
        <w:t xml:space="preserve"> </w:t>
      </w:r>
      <w:r w:rsidRPr="009D6B5D">
        <w:rPr>
          <w:rFonts w:ascii="Bookman Old Style" w:hAnsi="Bookman Old Style"/>
        </w:rPr>
        <w:t>dal 31 marzo al 30 giugno 2025 quelli per la stipula del contratto.</w:t>
      </w:r>
      <w:r>
        <w:rPr>
          <w:rFonts w:ascii="Bookman Old Style" w:hAnsi="Bookman Old Style"/>
        </w:rPr>
        <w:t xml:space="preserve"> Di conseguenza, </w:t>
      </w:r>
      <w:r w:rsidRPr="009D6B5D">
        <w:rPr>
          <w:rFonts w:ascii="Bookman Old Style" w:hAnsi="Bookman Old Style"/>
        </w:rPr>
        <w:t>la norma sposta al 15 settembre 2025 anche il termine entro cui dovrebbe essere adottato dal Ministero dell'Interno, di concerto con il Ministero dell'Economia e delle Finanze</w:t>
      </w:r>
      <w:r>
        <w:rPr>
          <w:rFonts w:ascii="Bookman Old Style" w:hAnsi="Bookman Old Style"/>
        </w:rPr>
        <w:t>,</w:t>
      </w:r>
      <w:r w:rsidRPr="009D6B5D">
        <w:rPr>
          <w:rFonts w:ascii="Bookman Old Style" w:hAnsi="Bookman Old Style"/>
        </w:rPr>
        <w:t xml:space="preserve"> il decreto di revoca del contributo nei confronti degli Enti che non abbiano stipulato il contratto al 30 giugno 2025.</w:t>
      </w:r>
    </w:p>
    <w:p w14:paraId="7C8495E3" w14:textId="77777777" w:rsidR="001E6B5A" w:rsidRDefault="001E6B5A" w:rsidP="001E6B5A">
      <w:pPr>
        <w:spacing w:after="0"/>
        <w:jc w:val="both"/>
        <w:rPr>
          <w:rFonts w:ascii="Bookman Old Style" w:hAnsi="Bookman Old Style"/>
        </w:rPr>
      </w:pPr>
      <w:r w:rsidRPr="009D6B5D">
        <w:rPr>
          <w:rFonts w:ascii="Bookman Old Style" w:hAnsi="Bookman Old Style"/>
        </w:rPr>
        <w:t>La norma, in ultimo, proroga dal 31 marzo al 30 giugno 2025 la scadenza per la stipula del contratto di affidamento dei lavori per i progetti di rigenerazione urbana di cui all’art. 1, comma 539, della legge 30 dicembre 2021, n. 234. Di conseguenza, viene spostato dal 15 maggio al 15 settembre 2025 il termine di adozione del decreto ministeriale di revoca delle risorse per i progetti che non abbiano rispettato il suddetto termine.</w:t>
      </w:r>
    </w:p>
    <w:p w14:paraId="6D1D67AB" w14:textId="77777777" w:rsidR="00D32423" w:rsidRPr="009D6B5D" w:rsidRDefault="00D32423" w:rsidP="001E6B5A">
      <w:pPr>
        <w:spacing w:after="0"/>
        <w:jc w:val="both"/>
        <w:rPr>
          <w:rFonts w:ascii="Bookman Old Style" w:hAnsi="Bookman Old Style"/>
        </w:rPr>
      </w:pPr>
    </w:p>
    <w:p w14:paraId="50349188" w14:textId="186830AB" w:rsidR="00B41DDC" w:rsidRPr="00C77EEC" w:rsidRDefault="009D3674" w:rsidP="00B41DDC">
      <w:pPr>
        <w:pStyle w:val="Paragrafoelenco"/>
        <w:numPr>
          <w:ilvl w:val="0"/>
          <w:numId w:val="2"/>
        </w:numPr>
        <w:jc w:val="both"/>
        <w:rPr>
          <w:rFonts w:ascii="Bookman Old Style" w:hAnsi="Bookman Old Style"/>
        </w:rPr>
      </w:pPr>
      <w:r w:rsidRPr="00E906DE">
        <w:rPr>
          <w:rFonts w:ascii="Bookman Old Style" w:hAnsi="Bookman Old Style"/>
          <w:b/>
          <w:bCs/>
        </w:rPr>
        <w:t>Utilizzo in convenzione dei funzionari per la coesione</w:t>
      </w:r>
      <w:r w:rsidR="00B41DDC">
        <w:rPr>
          <w:rFonts w:ascii="Bookman Old Style" w:hAnsi="Bookman Old Style"/>
          <w:b/>
          <w:bCs/>
        </w:rPr>
        <w:t xml:space="preserve"> </w:t>
      </w:r>
      <w:r w:rsidR="00B41DDC" w:rsidRPr="002D3BF1">
        <w:rPr>
          <w:rFonts w:ascii="Bookman Old Style" w:hAnsi="Bookman Old Style"/>
          <w:b/>
          <w:bCs/>
        </w:rPr>
        <w:t xml:space="preserve">(art. 8, comma </w:t>
      </w:r>
      <w:r w:rsidR="00B41DDC">
        <w:rPr>
          <w:rFonts w:ascii="Bookman Old Style" w:hAnsi="Bookman Old Style"/>
          <w:b/>
          <w:bCs/>
        </w:rPr>
        <w:t>9</w:t>
      </w:r>
      <w:r w:rsidR="00B41DDC" w:rsidRPr="002D3BF1">
        <w:rPr>
          <w:rFonts w:ascii="Bookman Old Style" w:hAnsi="Bookman Old Style"/>
          <w:b/>
          <w:bCs/>
        </w:rPr>
        <w:t>)</w:t>
      </w:r>
    </w:p>
    <w:p w14:paraId="2EF0946E" w14:textId="10314AAA" w:rsidR="006F4082" w:rsidRDefault="00C85512" w:rsidP="00006C06">
      <w:pPr>
        <w:jc w:val="both"/>
        <w:rPr>
          <w:rFonts w:ascii="Bookman Old Style" w:hAnsi="Bookman Old Style"/>
        </w:rPr>
      </w:pPr>
      <w:r w:rsidRPr="00BC4DD4">
        <w:rPr>
          <w:rFonts w:ascii="Bookman Old Style" w:hAnsi="Bookman Old Style"/>
        </w:rPr>
        <w:t xml:space="preserve">Con </w:t>
      </w:r>
      <w:r w:rsidR="00B41DDC">
        <w:rPr>
          <w:rFonts w:ascii="Bookman Old Style" w:hAnsi="Bookman Old Style"/>
        </w:rPr>
        <w:t>tale</w:t>
      </w:r>
      <w:r w:rsidRPr="00BC4DD4">
        <w:rPr>
          <w:rFonts w:ascii="Bookman Old Style" w:hAnsi="Bookman Old Style"/>
        </w:rPr>
        <w:t xml:space="preserve"> previsione viene </w:t>
      </w:r>
      <w:r w:rsidRPr="007C46BE">
        <w:rPr>
          <w:rFonts w:ascii="Bookman Old Style" w:hAnsi="Bookman Old Style"/>
          <w:b/>
          <w:bCs/>
        </w:rPr>
        <w:t xml:space="preserve">recepita </w:t>
      </w:r>
      <w:r w:rsidR="000805C9">
        <w:rPr>
          <w:rFonts w:ascii="Bookman Old Style" w:hAnsi="Bookman Old Style"/>
        </w:rPr>
        <w:t>dal Parlamento</w:t>
      </w:r>
      <w:r w:rsidR="008373B9">
        <w:rPr>
          <w:rFonts w:ascii="Bookman Old Style" w:hAnsi="Bookman Old Style"/>
          <w:b/>
          <w:bCs/>
        </w:rPr>
        <w:t xml:space="preserve"> </w:t>
      </w:r>
      <w:r w:rsidRPr="007C46BE">
        <w:rPr>
          <w:rFonts w:ascii="Bookman Old Style" w:hAnsi="Bookman Old Style"/>
          <w:b/>
          <w:bCs/>
        </w:rPr>
        <w:t>la richiesta dell’ANCI</w:t>
      </w:r>
      <w:r w:rsidRPr="00BC4DD4">
        <w:rPr>
          <w:rFonts w:ascii="Bookman Old Style" w:hAnsi="Bookman Old Style"/>
        </w:rPr>
        <w:t xml:space="preserve"> di chiarire la possibilità di impiegare il personale</w:t>
      </w:r>
      <w:r w:rsidR="006650A1">
        <w:rPr>
          <w:rFonts w:ascii="Bookman Old Style" w:hAnsi="Bookman Old Style"/>
        </w:rPr>
        <w:t>,</w:t>
      </w:r>
      <w:r w:rsidRPr="00BC4DD4">
        <w:rPr>
          <w:rFonts w:ascii="Bookman Old Style" w:hAnsi="Bookman Old Style"/>
        </w:rPr>
        <w:t xml:space="preserve"> </w:t>
      </w:r>
      <w:r w:rsidR="00246843" w:rsidRPr="00BC4DD4">
        <w:rPr>
          <w:rFonts w:ascii="Bookman Old Style" w:hAnsi="Bookman Old Style"/>
        </w:rPr>
        <w:t>assunto dai Comuni e dalle Città metropolitane in attuazione del Programma Nazionale Capacità per la coesione</w:t>
      </w:r>
      <w:r w:rsidR="006650A1">
        <w:rPr>
          <w:rFonts w:ascii="Bookman Old Style" w:hAnsi="Bookman Old Style"/>
        </w:rPr>
        <w:t>,</w:t>
      </w:r>
      <w:r w:rsidR="00246843" w:rsidRPr="00BC4DD4">
        <w:rPr>
          <w:rFonts w:ascii="Bookman Old Style" w:hAnsi="Bookman Old Style"/>
        </w:rPr>
        <w:t xml:space="preserve"> anche nell’ambito di convenzioni ex art. 30 TUEL.</w:t>
      </w:r>
    </w:p>
    <w:p w14:paraId="712C5B3B" w14:textId="77777777" w:rsidR="00640C11" w:rsidRDefault="00640C11" w:rsidP="00640C11">
      <w:pPr>
        <w:spacing w:after="0" w:line="240" w:lineRule="auto"/>
        <w:jc w:val="both"/>
        <w:rPr>
          <w:rFonts w:ascii="Bookman Old Style" w:hAnsi="Bookman Old Style"/>
        </w:rPr>
      </w:pPr>
    </w:p>
    <w:p w14:paraId="2D492C43" w14:textId="13BD6ECD" w:rsidR="00640C11" w:rsidRPr="00A6410A" w:rsidRDefault="00A6410A" w:rsidP="00A6410A">
      <w:pPr>
        <w:jc w:val="both"/>
        <w:rPr>
          <w:rFonts w:ascii="Bookman Old Style" w:hAnsi="Bookman Old Style" w:cs="Aptos"/>
          <w:b/>
          <w:color w:val="0070C0"/>
          <w:kern w:val="0"/>
          <w14:ligatures w14:val="none"/>
        </w:rPr>
      </w:pPr>
      <w:r w:rsidRPr="00A6410A">
        <w:rPr>
          <w:rFonts w:ascii="Bookman Old Style" w:hAnsi="Bookman Old Style" w:cs="Aptos"/>
          <w:b/>
          <w:color w:val="0070C0"/>
          <w:kern w:val="0"/>
          <w14:ligatures w14:val="none"/>
        </w:rPr>
        <w:t>Misure urgenti in materia di edilizia scolastica</w:t>
      </w:r>
      <w:r>
        <w:rPr>
          <w:rFonts w:ascii="Bookman Old Style" w:hAnsi="Bookman Old Style" w:cs="Aptos"/>
          <w:b/>
          <w:color w:val="0070C0"/>
          <w:kern w:val="0"/>
          <w14:ligatures w14:val="none"/>
        </w:rPr>
        <w:t xml:space="preserve"> (</w:t>
      </w:r>
      <w:r w:rsidR="00ED662F">
        <w:rPr>
          <w:rFonts w:ascii="Bookman Old Style" w:hAnsi="Bookman Old Style" w:cs="Aptos"/>
          <w:b/>
          <w:color w:val="0070C0"/>
          <w:kern w:val="0"/>
          <w14:ligatures w14:val="none"/>
        </w:rPr>
        <w:t>A</w:t>
      </w:r>
      <w:r>
        <w:rPr>
          <w:rFonts w:ascii="Bookman Old Style" w:hAnsi="Bookman Old Style" w:cs="Aptos"/>
          <w:b/>
          <w:color w:val="0070C0"/>
          <w:kern w:val="0"/>
          <w14:ligatures w14:val="none"/>
        </w:rPr>
        <w:t xml:space="preserve">rt. </w:t>
      </w:r>
      <w:r w:rsidR="00ED662F">
        <w:rPr>
          <w:rFonts w:ascii="Bookman Old Style" w:hAnsi="Bookman Old Style" w:cs="Aptos"/>
          <w:b/>
          <w:color w:val="0070C0"/>
          <w:kern w:val="0"/>
          <w14:ligatures w14:val="none"/>
        </w:rPr>
        <w:t>8-bis)</w:t>
      </w:r>
    </w:p>
    <w:p w14:paraId="5439E51E" w14:textId="626D244B" w:rsidR="00A6410A" w:rsidRDefault="00755505" w:rsidP="00D8401A">
      <w:pPr>
        <w:spacing w:after="0"/>
        <w:jc w:val="both"/>
        <w:rPr>
          <w:rFonts w:ascii="Bookman Old Style" w:hAnsi="Bookman Old Style"/>
        </w:rPr>
      </w:pPr>
      <w:r>
        <w:rPr>
          <w:rFonts w:ascii="Bookman Old Style" w:hAnsi="Bookman Old Style"/>
        </w:rPr>
        <w:t>La norma</w:t>
      </w:r>
      <w:r w:rsidRPr="00D32423">
        <w:rPr>
          <w:rFonts w:ascii="Bookman Old Style" w:hAnsi="Bookman Old Style"/>
        </w:rPr>
        <w:t>,</w:t>
      </w:r>
      <w:r w:rsidRPr="00755505">
        <w:rPr>
          <w:rFonts w:ascii="Bookman Old Style" w:hAnsi="Bookman Old Style"/>
          <w:b/>
          <w:bCs/>
        </w:rPr>
        <w:t xml:space="preserve"> </w:t>
      </w:r>
      <w:r w:rsidR="00576AF5">
        <w:rPr>
          <w:rFonts w:ascii="Bookman Old Style" w:hAnsi="Bookman Old Style"/>
        </w:rPr>
        <w:t>approvata</w:t>
      </w:r>
      <w:r w:rsidRPr="00755505">
        <w:rPr>
          <w:rFonts w:ascii="Bookman Old Style" w:hAnsi="Bookman Old Style"/>
        </w:rPr>
        <w:t xml:space="preserve"> </w:t>
      </w:r>
      <w:r w:rsidR="000805C9">
        <w:rPr>
          <w:rFonts w:ascii="Bookman Old Style" w:hAnsi="Bookman Old Style"/>
        </w:rPr>
        <w:t>durante l’esame parlamentare</w:t>
      </w:r>
      <w:r w:rsidRPr="00D32423">
        <w:rPr>
          <w:rFonts w:ascii="Bookman Old Style" w:hAnsi="Bookman Old Style"/>
        </w:rPr>
        <w:t>,</w:t>
      </w:r>
      <w:r w:rsidRPr="00755505">
        <w:rPr>
          <w:rFonts w:ascii="Bookman Old Style" w:hAnsi="Bookman Old Style"/>
          <w:b/>
          <w:bCs/>
        </w:rPr>
        <w:t xml:space="preserve"> </w:t>
      </w:r>
      <w:r w:rsidRPr="00755505">
        <w:rPr>
          <w:rFonts w:ascii="Bookman Old Style" w:hAnsi="Bookman Old Style"/>
        </w:rPr>
        <w:t xml:space="preserve">autorizza la spesa di </w:t>
      </w:r>
      <w:r w:rsidRPr="00755505">
        <w:rPr>
          <w:rFonts w:ascii="Bookman Old Style" w:hAnsi="Bookman Old Style"/>
          <w:b/>
          <w:bCs/>
        </w:rPr>
        <w:t>20 milioni di euro per il 2025</w:t>
      </w:r>
      <w:r w:rsidRPr="00755505">
        <w:rPr>
          <w:rFonts w:ascii="Bookman Old Style" w:hAnsi="Bookman Old Style"/>
        </w:rPr>
        <w:t xml:space="preserve"> al fine di far fronte alle esigenze indifferibili e urgenti in materia di edilizia scolastica</w:t>
      </w:r>
      <w:r>
        <w:rPr>
          <w:rFonts w:ascii="Bookman Old Style" w:hAnsi="Bookman Old Style"/>
        </w:rPr>
        <w:t>. D</w:t>
      </w:r>
      <w:r w:rsidRPr="00755505">
        <w:rPr>
          <w:rFonts w:ascii="Bookman Old Style" w:hAnsi="Bookman Old Style"/>
        </w:rPr>
        <w:t xml:space="preserve">emanda quindi a uno o più decreti del Ministro dell'istruzione e del merito, di concerto con il Ministro dell'economia e delle finanze, da adottare entro 60 giorni dalla data di entrata in vigore della legge di conversione del decreto in esame, la definizione delle modalità e dei termini per la presentazione delle richieste di finanziamento nonché dei criteri di assegnazione delle risorse stanziate dal comma 1 in favore degli enti territoriali competenti in materia di edilizia scolastica. Sono ammissibili a finanziamento interventi </w:t>
      </w:r>
      <w:r w:rsidRPr="00755505">
        <w:rPr>
          <w:rFonts w:ascii="Bookman Old Style" w:hAnsi="Bookman Old Style"/>
        </w:rPr>
        <w:lastRenderedPageBreak/>
        <w:t>identificati dal codice unico di progetto e che, per gli incrementi di costo dei materiali, non abbiano ricevuto assegnazioni dal Fondo per l'avvio delle opere indifferibili.</w:t>
      </w:r>
    </w:p>
    <w:p w14:paraId="3EFFC217" w14:textId="77777777" w:rsidR="00755505" w:rsidRDefault="00755505" w:rsidP="00640C11">
      <w:pPr>
        <w:spacing w:after="0" w:line="240" w:lineRule="auto"/>
        <w:jc w:val="both"/>
        <w:rPr>
          <w:rFonts w:ascii="Bookman Old Style" w:hAnsi="Bookman Old Style"/>
        </w:rPr>
      </w:pPr>
    </w:p>
    <w:p w14:paraId="3A0BC1ED" w14:textId="423AFF28" w:rsidR="00E1397E" w:rsidRPr="005C6A06" w:rsidRDefault="00176581" w:rsidP="00006C06">
      <w:pPr>
        <w:jc w:val="both"/>
        <w:rPr>
          <w:rFonts w:ascii="Bookman Old Style" w:hAnsi="Bookman Old Style" w:cs="Aptos"/>
          <w:b/>
          <w:color w:val="0070C0"/>
          <w:kern w:val="0"/>
          <w14:ligatures w14:val="none"/>
        </w:rPr>
      </w:pPr>
      <w:r w:rsidRPr="005C6A06">
        <w:rPr>
          <w:rFonts w:ascii="Bookman Old Style" w:hAnsi="Bookman Old Style" w:cs="Aptos"/>
          <w:b/>
          <w:color w:val="0070C0"/>
          <w:kern w:val="0"/>
          <w14:ligatures w14:val="none"/>
        </w:rPr>
        <w:t>Disposizioni urgenti in materia di segretari comunali</w:t>
      </w:r>
      <w:r w:rsidR="005C6A06">
        <w:rPr>
          <w:rFonts w:ascii="Bookman Old Style" w:hAnsi="Bookman Old Style" w:cs="Aptos"/>
          <w:b/>
          <w:color w:val="0070C0"/>
          <w:kern w:val="0"/>
          <w14:ligatures w14:val="none"/>
        </w:rPr>
        <w:t xml:space="preserve"> (Art. 9)</w:t>
      </w:r>
    </w:p>
    <w:p w14:paraId="0EC16642" w14:textId="2EC015BF" w:rsidR="000F6913" w:rsidRPr="005C6A06" w:rsidRDefault="009073BC" w:rsidP="005C6A06">
      <w:pPr>
        <w:pStyle w:val="Paragrafoelenco"/>
        <w:numPr>
          <w:ilvl w:val="0"/>
          <w:numId w:val="2"/>
        </w:numPr>
        <w:jc w:val="both"/>
        <w:rPr>
          <w:rFonts w:ascii="Bookman Old Style" w:hAnsi="Bookman Old Style"/>
          <w:b/>
          <w:bCs/>
        </w:rPr>
      </w:pPr>
      <w:r w:rsidRPr="005C6A06">
        <w:rPr>
          <w:rFonts w:ascii="Bookman Old Style" w:hAnsi="Bookman Old Style"/>
          <w:b/>
          <w:bCs/>
        </w:rPr>
        <w:t xml:space="preserve">Fondo </w:t>
      </w:r>
      <w:r w:rsidR="00AC299E" w:rsidRPr="005C6A06">
        <w:rPr>
          <w:rFonts w:ascii="Bookman Old Style" w:hAnsi="Bookman Old Style"/>
          <w:b/>
          <w:bCs/>
        </w:rPr>
        <w:t>per il contributo finanziario ai piccoli Comuni finalizzato alle assunzioni di personale a tempo determinato per l’attuazione del PNRR</w:t>
      </w:r>
      <w:r w:rsidRPr="005C6A06">
        <w:rPr>
          <w:rFonts w:ascii="Bookman Old Style" w:hAnsi="Bookman Old Style"/>
          <w:b/>
          <w:bCs/>
        </w:rPr>
        <w:t xml:space="preserve"> </w:t>
      </w:r>
      <w:r w:rsidR="00AC299E" w:rsidRPr="005C6A06">
        <w:rPr>
          <w:rFonts w:ascii="Bookman Old Style" w:hAnsi="Bookman Old Style"/>
          <w:b/>
          <w:bCs/>
        </w:rPr>
        <w:t>e al trattamento economico de</w:t>
      </w:r>
      <w:r w:rsidR="005A7DBA" w:rsidRPr="005C6A06">
        <w:rPr>
          <w:rFonts w:ascii="Bookman Old Style" w:hAnsi="Bookman Old Style"/>
          <w:b/>
          <w:bCs/>
        </w:rPr>
        <w:t>l segretario comunale</w:t>
      </w:r>
      <w:r w:rsidR="007B5009">
        <w:rPr>
          <w:rFonts w:ascii="Bookman Old Style" w:hAnsi="Bookman Old Style"/>
          <w:b/>
          <w:bCs/>
        </w:rPr>
        <w:t xml:space="preserve"> (Art. 9, comma 2)</w:t>
      </w:r>
    </w:p>
    <w:p w14:paraId="58077624" w14:textId="59B89F0A" w:rsidR="00176581" w:rsidRPr="00BC4DD4" w:rsidRDefault="007B5009" w:rsidP="00006C06">
      <w:pPr>
        <w:jc w:val="both"/>
        <w:rPr>
          <w:rFonts w:ascii="Bookman Old Style" w:hAnsi="Bookman Old Style"/>
        </w:rPr>
      </w:pPr>
      <w:r>
        <w:rPr>
          <w:rFonts w:ascii="Bookman Old Style" w:hAnsi="Bookman Old Style"/>
        </w:rPr>
        <w:t xml:space="preserve">La norma </w:t>
      </w:r>
      <w:r w:rsidR="00E22E3F" w:rsidRPr="00BC4DD4">
        <w:rPr>
          <w:rFonts w:ascii="Bookman Old Style" w:hAnsi="Bookman Old Style"/>
        </w:rPr>
        <w:t xml:space="preserve">dispone testualmente che: “le risorse finanziarie assegnate ai </w:t>
      </w:r>
      <w:r w:rsidR="005C6A06">
        <w:rPr>
          <w:rFonts w:ascii="Bookman Old Style" w:hAnsi="Bookman Old Style"/>
        </w:rPr>
        <w:t>C</w:t>
      </w:r>
      <w:r w:rsidR="00E22E3F" w:rsidRPr="00BC4DD4">
        <w:rPr>
          <w:rFonts w:ascii="Bookman Old Style" w:hAnsi="Bookman Old Style"/>
        </w:rPr>
        <w:t xml:space="preserve">omuni individuati sulla base dei criteri determinati dal decreto del Presidente del Consiglio dei ministri, adottato ai sensi del comma 5, dell’articolo 31-bis, del decreto-legge 6 novembre 2021, n. 152, convertito, con modificazioni, dalla legge 29 dicembre 2021, n. 233, non utilizzate e restituite, </w:t>
      </w:r>
      <w:r w:rsidR="00E22E3F" w:rsidRPr="004F61EF">
        <w:rPr>
          <w:rFonts w:ascii="Bookman Old Style" w:hAnsi="Bookman Old Style"/>
          <w:i/>
          <w:iCs/>
        </w:rPr>
        <w:t>nel corso del medesimo esercizio finanziario</w:t>
      </w:r>
      <w:r w:rsidR="00E22E3F" w:rsidRPr="00BC4DD4">
        <w:rPr>
          <w:rFonts w:ascii="Bookman Old Style" w:hAnsi="Bookman Old Style"/>
        </w:rPr>
        <w:t xml:space="preserve">, dalle predette amministrazioni, sono riassegnate dal Ministero dell’interno, in ordine di graduatoria, ai </w:t>
      </w:r>
      <w:r w:rsidR="00466DBE">
        <w:rPr>
          <w:rFonts w:ascii="Bookman Old Style" w:hAnsi="Bookman Old Style"/>
        </w:rPr>
        <w:t>C</w:t>
      </w:r>
      <w:r w:rsidR="00E22E3F" w:rsidRPr="00BC4DD4">
        <w:rPr>
          <w:rFonts w:ascii="Bookman Old Style" w:hAnsi="Bookman Old Style"/>
        </w:rPr>
        <w:t>omuni già individuati ma non destinatari dei benefici ivi previsti”.</w:t>
      </w:r>
    </w:p>
    <w:p w14:paraId="371551D4" w14:textId="165C5D39" w:rsidR="00E22E3F" w:rsidRPr="00BC4DD4" w:rsidRDefault="00E22E3F" w:rsidP="00006C06">
      <w:pPr>
        <w:jc w:val="both"/>
        <w:rPr>
          <w:rFonts w:ascii="Bookman Old Style" w:hAnsi="Bookman Old Style"/>
        </w:rPr>
      </w:pPr>
      <w:r w:rsidRPr="00BC4DD4">
        <w:rPr>
          <w:rFonts w:ascii="Bookman Old Style" w:hAnsi="Bookman Old Style"/>
        </w:rPr>
        <w:t>Sul punto specifico si fa presente che l’ANCI richiede orma</w:t>
      </w:r>
      <w:r w:rsidR="00436181" w:rsidRPr="00BC4DD4">
        <w:rPr>
          <w:rFonts w:ascii="Bookman Old Style" w:hAnsi="Bookman Old Style"/>
        </w:rPr>
        <w:t xml:space="preserve">i da due anni una modifica normativa volta </w:t>
      </w:r>
      <w:r w:rsidR="00F33372" w:rsidRPr="00BC4DD4">
        <w:rPr>
          <w:rFonts w:ascii="Bookman Old Style" w:hAnsi="Bookman Old Style"/>
        </w:rPr>
        <w:t>a superare le numerose difficoltà applicative del</w:t>
      </w:r>
      <w:r w:rsidR="004425F4">
        <w:rPr>
          <w:rFonts w:ascii="Bookman Old Style" w:hAnsi="Bookman Old Style"/>
        </w:rPr>
        <w:t xml:space="preserve">l’erogazione del contributo a valere sul </w:t>
      </w:r>
      <w:r w:rsidR="008858C9">
        <w:rPr>
          <w:rFonts w:ascii="Bookman Old Style" w:hAnsi="Bookman Old Style"/>
        </w:rPr>
        <w:t xml:space="preserve">fondo </w:t>
      </w:r>
      <w:r w:rsidR="008858C9" w:rsidRPr="00BC4DD4">
        <w:rPr>
          <w:rFonts w:ascii="Bookman Old Style" w:hAnsi="Bookman Old Style"/>
        </w:rPr>
        <w:t>in</w:t>
      </w:r>
      <w:r w:rsidR="00F33372" w:rsidRPr="00BC4DD4">
        <w:rPr>
          <w:rFonts w:ascii="Bookman Old Style" w:hAnsi="Bookman Old Style"/>
        </w:rPr>
        <w:t xml:space="preserve"> questione, che ne hanno parzialmente vanificato </w:t>
      </w:r>
      <w:r w:rsidR="00FE0A05" w:rsidRPr="00BC4DD4">
        <w:rPr>
          <w:rFonts w:ascii="Bookman Old Style" w:hAnsi="Bookman Old Style"/>
        </w:rPr>
        <w:t>l’obiettivo.</w:t>
      </w:r>
    </w:p>
    <w:p w14:paraId="1332A2D9" w14:textId="2B1D3E78" w:rsidR="00FE0A05" w:rsidRPr="00BC4DD4" w:rsidRDefault="00FE0A05" w:rsidP="00006C06">
      <w:pPr>
        <w:jc w:val="both"/>
        <w:rPr>
          <w:rFonts w:ascii="Bookman Old Style" w:hAnsi="Bookman Old Style"/>
          <w:b/>
          <w:bCs/>
          <w:u w:val="single"/>
        </w:rPr>
      </w:pPr>
      <w:r w:rsidRPr="00BC4DD4">
        <w:rPr>
          <w:rFonts w:ascii="Bookman Old Style" w:hAnsi="Bookman Old Style"/>
          <w:b/>
          <w:bCs/>
          <w:u w:val="single"/>
        </w:rPr>
        <w:t xml:space="preserve">La norma inserita nel decreto </w:t>
      </w:r>
      <w:r w:rsidR="005923F5">
        <w:rPr>
          <w:rFonts w:ascii="Bookman Old Style" w:hAnsi="Bookman Old Style"/>
          <w:b/>
          <w:bCs/>
          <w:u w:val="single"/>
        </w:rPr>
        <w:t>in commento</w:t>
      </w:r>
      <w:r w:rsidRPr="00BC4DD4">
        <w:rPr>
          <w:rFonts w:ascii="Bookman Old Style" w:hAnsi="Bookman Old Style"/>
          <w:b/>
          <w:bCs/>
          <w:u w:val="single"/>
        </w:rPr>
        <w:t xml:space="preserve"> non rispecchia i contenuti de</w:t>
      </w:r>
      <w:r w:rsidR="00E237B3">
        <w:rPr>
          <w:rFonts w:ascii="Bookman Old Style" w:hAnsi="Bookman Old Style"/>
          <w:b/>
          <w:bCs/>
          <w:u w:val="single"/>
        </w:rPr>
        <w:t>lle</w:t>
      </w:r>
      <w:r w:rsidRPr="00BC4DD4">
        <w:rPr>
          <w:rFonts w:ascii="Bookman Old Style" w:hAnsi="Bookman Old Style"/>
          <w:b/>
          <w:bCs/>
          <w:u w:val="single"/>
        </w:rPr>
        <w:t xml:space="preserve"> propost</w:t>
      </w:r>
      <w:r w:rsidR="00E237B3">
        <w:rPr>
          <w:rFonts w:ascii="Bookman Old Style" w:hAnsi="Bookman Old Style"/>
          <w:b/>
          <w:bCs/>
          <w:u w:val="single"/>
        </w:rPr>
        <w:t>e</w:t>
      </w:r>
      <w:r w:rsidRPr="00BC4DD4">
        <w:rPr>
          <w:rFonts w:ascii="Bookman Old Style" w:hAnsi="Bookman Old Style"/>
          <w:b/>
          <w:bCs/>
          <w:u w:val="single"/>
        </w:rPr>
        <w:t xml:space="preserve"> d</w:t>
      </w:r>
      <w:r w:rsidR="00E237B3">
        <w:rPr>
          <w:rFonts w:ascii="Bookman Old Style" w:hAnsi="Bookman Old Style"/>
          <w:b/>
          <w:bCs/>
          <w:u w:val="single"/>
        </w:rPr>
        <w:t>e</w:t>
      </w:r>
      <w:r w:rsidRPr="00BC4DD4">
        <w:rPr>
          <w:rFonts w:ascii="Bookman Old Style" w:hAnsi="Bookman Old Style"/>
          <w:b/>
          <w:bCs/>
          <w:u w:val="single"/>
        </w:rPr>
        <w:t xml:space="preserve">ll’ANCI, e </w:t>
      </w:r>
      <w:r w:rsidR="00EB2AD3" w:rsidRPr="00BC4DD4">
        <w:rPr>
          <w:rFonts w:ascii="Bookman Old Style" w:hAnsi="Bookman Old Style"/>
          <w:b/>
          <w:bCs/>
          <w:u w:val="single"/>
        </w:rPr>
        <w:t>corrisponde</w:t>
      </w:r>
      <w:r w:rsidR="000B046A" w:rsidRPr="00BC4DD4">
        <w:rPr>
          <w:rFonts w:ascii="Bookman Old Style" w:hAnsi="Bookman Old Style"/>
          <w:b/>
          <w:bCs/>
          <w:u w:val="single"/>
        </w:rPr>
        <w:t xml:space="preserve"> in minima parte</w:t>
      </w:r>
      <w:r w:rsidR="00EB2AD3" w:rsidRPr="00BC4DD4">
        <w:rPr>
          <w:rFonts w:ascii="Bookman Old Style" w:hAnsi="Bookman Old Style"/>
          <w:b/>
          <w:bCs/>
          <w:u w:val="single"/>
        </w:rPr>
        <w:t xml:space="preserve"> alle esigenze </w:t>
      </w:r>
      <w:r w:rsidR="000B046A" w:rsidRPr="00BC4DD4">
        <w:rPr>
          <w:rFonts w:ascii="Bookman Old Style" w:hAnsi="Bookman Old Style"/>
          <w:b/>
          <w:bCs/>
          <w:u w:val="single"/>
        </w:rPr>
        <w:t>rappresentate dai Comuni.</w:t>
      </w:r>
    </w:p>
    <w:p w14:paraId="4E5BA0AC" w14:textId="28967886" w:rsidR="000B046A" w:rsidRPr="00BC4DD4" w:rsidRDefault="000B046A" w:rsidP="00006C06">
      <w:pPr>
        <w:jc w:val="both"/>
        <w:rPr>
          <w:rFonts w:ascii="Bookman Old Style" w:hAnsi="Bookman Old Style"/>
          <w:b/>
          <w:bCs/>
          <w:u w:val="single"/>
        </w:rPr>
      </w:pPr>
      <w:r w:rsidRPr="00BC4DD4">
        <w:rPr>
          <w:rFonts w:ascii="Bookman Old Style" w:hAnsi="Bookman Old Style"/>
        </w:rPr>
        <w:t xml:space="preserve">La maggiore criticità è data dal fatto che </w:t>
      </w:r>
      <w:r w:rsidR="0067028E" w:rsidRPr="00BC4DD4">
        <w:rPr>
          <w:rFonts w:ascii="Bookman Old Style" w:hAnsi="Bookman Old Style"/>
        </w:rPr>
        <w:t xml:space="preserve">questa misura consente il reimpiego delle sole risorse restituite “nel medesimo esercizio finanziario”, laddove, in base alle indicazioni </w:t>
      </w:r>
      <w:r w:rsidR="00921256" w:rsidRPr="00BC4DD4">
        <w:rPr>
          <w:rFonts w:ascii="Bookman Old Style" w:hAnsi="Bookman Old Style"/>
        </w:rPr>
        <w:t xml:space="preserve">del Ministero dell’Interno (Circolare DAIT </w:t>
      </w:r>
      <w:r w:rsidR="002175A6" w:rsidRPr="00BC4DD4">
        <w:rPr>
          <w:rFonts w:ascii="Bookman Old Style" w:hAnsi="Bookman Old Style"/>
        </w:rPr>
        <w:t>n. 84 del 3 luglio 2023)</w:t>
      </w:r>
      <w:r w:rsidR="00270FF7" w:rsidRPr="00BC4DD4">
        <w:rPr>
          <w:rFonts w:ascii="Bookman Old Style" w:hAnsi="Bookman Old Style"/>
        </w:rPr>
        <w:t xml:space="preserve"> le risorse non utilizzate vanno riversate </w:t>
      </w:r>
      <w:r w:rsidR="0065012D" w:rsidRPr="00BC4DD4">
        <w:rPr>
          <w:rFonts w:ascii="Bookman Old Style" w:hAnsi="Bookman Old Style"/>
        </w:rPr>
        <w:t>entro il 31 marzo dell’esercizio successivo a quello di assegnazione.</w:t>
      </w:r>
      <w:r w:rsidR="00196959" w:rsidRPr="00BC4DD4">
        <w:rPr>
          <w:rFonts w:ascii="Bookman Old Style" w:hAnsi="Bookman Old Style"/>
        </w:rPr>
        <w:t xml:space="preserve"> </w:t>
      </w:r>
      <w:r w:rsidR="00196959" w:rsidRPr="00BC4DD4">
        <w:rPr>
          <w:rFonts w:ascii="Bookman Old Style" w:hAnsi="Bookman Old Style"/>
          <w:b/>
          <w:bCs/>
          <w:u w:val="single"/>
        </w:rPr>
        <w:t xml:space="preserve">A meno di </w:t>
      </w:r>
      <w:r w:rsidR="000A6F30" w:rsidRPr="00BC4DD4">
        <w:rPr>
          <w:rFonts w:ascii="Bookman Old Style" w:hAnsi="Bookman Old Style"/>
          <w:b/>
          <w:bCs/>
          <w:u w:val="single"/>
        </w:rPr>
        <w:t>correttivi</w:t>
      </w:r>
      <w:r w:rsidR="0066210B" w:rsidRPr="00BC4DD4">
        <w:rPr>
          <w:rFonts w:ascii="Bookman Old Style" w:hAnsi="Bookman Old Style"/>
          <w:b/>
          <w:bCs/>
          <w:u w:val="single"/>
        </w:rPr>
        <w:t>, che l’ANCI chiederà in sede di conversione</w:t>
      </w:r>
      <w:r w:rsidR="00534159" w:rsidRPr="00BC4DD4">
        <w:rPr>
          <w:rFonts w:ascii="Bookman Old Style" w:hAnsi="Bookman Old Style"/>
          <w:b/>
          <w:bCs/>
          <w:u w:val="single"/>
        </w:rPr>
        <w:t>,</w:t>
      </w:r>
      <w:r w:rsidR="000A6F30" w:rsidRPr="00BC4DD4">
        <w:rPr>
          <w:rFonts w:ascii="Bookman Old Style" w:hAnsi="Bookman Old Style"/>
          <w:b/>
          <w:bCs/>
          <w:u w:val="single"/>
        </w:rPr>
        <w:t xml:space="preserve"> o </w:t>
      </w:r>
      <w:r w:rsidR="00196959" w:rsidRPr="00BC4DD4">
        <w:rPr>
          <w:rFonts w:ascii="Bookman Old Style" w:hAnsi="Bookman Old Style"/>
          <w:b/>
          <w:bCs/>
          <w:u w:val="single"/>
        </w:rPr>
        <w:t>chiarimenti tempestivi della Ragioneria generale dello Stato e del Ministero dell’interno</w:t>
      </w:r>
      <w:r w:rsidR="00336DEB">
        <w:rPr>
          <w:rFonts w:ascii="Bookman Old Style" w:hAnsi="Bookman Old Style"/>
          <w:b/>
          <w:bCs/>
          <w:u w:val="single"/>
        </w:rPr>
        <w:t>,</w:t>
      </w:r>
      <w:r w:rsidR="00196959" w:rsidRPr="00BC4DD4">
        <w:rPr>
          <w:rFonts w:ascii="Bookman Old Style" w:hAnsi="Bookman Old Style"/>
          <w:b/>
          <w:bCs/>
          <w:u w:val="single"/>
        </w:rPr>
        <w:t xml:space="preserve"> il rischio è quindi che questa misura </w:t>
      </w:r>
      <w:r w:rsidR="000A6F30" w:rsidRPr="00BC4DD4">
        <w:rPr>
          <w:rFonts w:ascii="Bookman Old Style" w:hAnsi="Bookman Old Style"/>
          <w:b/>
          <w:bCs/>
          <w:u w:val="single"/>
        </w:rPr>
        <w:t>resti inattuabile.</w:t>
      </w:r>
    </w:p>
    <w:p w14:paraId="4C070E6E" w14:textId="66B80C6D" w:rsidR="000A6F30" w:rsidRDefault="009E2C16" w:rsidP="00006C06">
      <w:pPr>
        <w:jc w:val="both"/>
        <w:rPr>
          <w:rFonts w:ascii="Bookman Old Style" w:hAnsi="Bookman Old Style"/>
        </w:rPr>
      </w:pPr>
      <w:r w:rsidRPr="00BC4DD4">
        <w:rPr>
          <w:rFonts w:ascii="Bookman Old Style" w:hAnsi="Bookman Old Style"/>
        </w:rPr>
        <w:t>Inoltre,</w:t>
      </w:r>
      <w:r w:rsidR="000A6F30" w:rsidRPr="00BC4DD4">
        <w:rPr>
          <w:rFonts w:ascii="Bookman Old Style" w:hAnsi="Bookman Old Style"/>
        </w:rPr>
        <w:t xml:space="preserve"> la stessa non </w:t>
      </w:r>
      <w:r w:rsidRPr="00BC4DD4">
        <w:rPr>
          <w:rFonts w:ascii="Bookman Old Style" w:hAnsi="Bookman Old Style"/>
        </w:rPr>
        <w:t>corrisponde alle esigenze maggiormente segnalate dai Comuni</w:t>
      </w:r>
      <w:r w:rsidR="007A4B80" w:rsidRPr="00BC4DD4">
        <w:rPr>
          <w:rFonts w:ascii="Bookman Old Style" w:hAnsi="Bookman Old Style"/>
        </w:rPr>
        <w:t xml:space="preserve"> già destinatari del contributo, che chiedono di poterlo utilizzare anche nelle annualità successive a quelle di assegnazione</w:t>
      </w:r>
      <w:r w:rsidR="00410C28" w:rsidRPr="00BC4DD4">
        <w:rPr>
          <w:rFonts w:ascii="Bookman Old Style" w:hAnsi="Bookman Old Style"/>
        </w:rPr>
        <w:t>, considerato che il mancato utilizzo è dipeso da fattori non dipendenti dall’inerzia dell’ente</w:t>
      </w:r>
      <w:r w:rsidR="00F5243A" w:rsidRPr="00BC4DD4">
        <w:rPr>
          <w:rFonts w:ascii="Bookman Old Style" w:hAnsi="Bookman Old Style"/>
        </w:rPr>
        <w:t xml:space="preserve"> ma da fattori esterni</w:t>
      </w:r>
      <w:r w:rsidR="00B523A0">
        <w:rPr>
          <w:rFonts w:ascii="Bookman Old Style" w:hAnsi="Bookman Old Style"/>
        </w:rPr>
        <w:t xml:space="preserve">. </w:t>
      </w:r>
      <w:r w:rsidR="008662C8">
        <w:rPr>
          <w:rFonts w:ascii="Bookman Old Style" w:hAnsi="Bookman Old Style"/>
        </w:rPr>
        <w:t>Ad esempio,</w:t>
      </w:r>
      <w:r w:rsidR="00B523A0">
        <w:rPr>
          <w:rFonts w:ascii="Bookman Old Style" w:hAnsi="Bookman Old Style"/>
        </w:rPr>
        <w:t xml:space="preserve"> </w:t>
      </w:r>
      <w:r w:rsidR="00542DD6" w:rsidRPr="00BC4DD4">
        <w:rPr>
          <w:rFonts w:ascii="Bookman Old Style" w:hAnsi="Bookman Old Style"/>
        </w:rPr>
        <w:t xml:space="preserve">nel caso del contributo </w:t>
      </w:r>
      <w:r w:rsidR="001A02F2" w:rsidRPr="00BC4DD4">
        <w:rPr>
          <w:rFonts w:ascii="Bookman Old Style" w:hAnsi="Bookman Old Style"/>
        </w:rPr>
        <w:t>per</w:t>
      </w:r>
      <w:r w:rsidR="00542DD6" w:rsidRPr="00BC4DD4">
        <w:rPr>
          <w:rFonts w:ascii="Bookman Old Style" w:hAnsi="Bookman Old Style"/>
        </w:rPr>
        <w:t xml:space="preserve"> il trattamento economico dei segretari</w:t>
      </w:r>
      <w:r w:rsidR="00E2243F">
        <w:rPr>
          <w:rFonts w:ascii="Bookman Old Style" w:hAnsi="Bookman Old Style"/>
        </w:rPr>
        <w:t>,</w:t>
      </w:r>
      <w:r w:rsidR="00542DD6" w:rsidRPr="00BC4DD4">
        <w:rPr>
          <w:rFonts w:ascii="Bookman Old Style" w:hAnsi="Bookman Old Style"/>
        </w:rPr>
        <w:t xml:space="preserve"> g</w:t>
      </w:r>
      <w:r w:rsidR="001A02F2" w:rsidRPr="00BC4DD4">
        <w:rPr>
          <w:rFonts w:ascii="Bookman Old Style" w:hAnsi="Bookman Old Style"/>
        </w:rPr>
        <w:t>li</w:t>
      </w:r>
      <w:r w:rsidR="00410C28" w:rsidRPr="00BC4DD4">
        <w:rPr>
          <w:rFonts w:ascii="Bookman Old Style" w:hAnsi="Bookman Old Style"/>
        </w:rPr>
        <w:t xml:space="preserve"> </w:t>
      </w:r>
      <w:r w:rsidR="003A4ABE" w:rsidRPr="00BC4DD4">
        <w:rPr>
          <w:rFonts w:ascii="Bookman Old Style" w:hAnsi="Bookman Old Style"/>
        </w:rPr>
        <w:t xml:space="preserve">avvisi di vacanza della sede </w:t>
      </w:r>
      <w:r w:rsidR="0039755F">
        <w:rPr>
          <w:rFonts w:ascii="Bookman Old Style" w:hAnsi="Bookman Old Style"/>
        </w:rPr>
        <w:t xml:space="preserve">sono </w:t>
      </w:r>
      <w:r w:rsidR="003A4ABE" w:rsidRPr="00BC4DD4">
        <w:rPr>
          <w:rFonts w:ascii="Bookman Old Style" w:hAnsi="Bookman Old Style"/>
        </w:rPr>
        <w:t xml:space="preserve">andati deserti </w:t>
      </w:r>
      <w:r w:rsidR="00CA3905" w:rsidRPr="00BC4DD4">
        <w:rPr>
          <w:rFonts w:ascii="Bookman Old Style" w:hAnsi="Bookman Old Style"/>
        </w:rPr>
        <w:t>per assenza di segretari di fascia C disponibili</w:t>
      </w:r>
      <w:r w:rsidR="001A02F2" w:rsidRPr="00BC4DD4">
        <w:rPr>
          <w:rFonts w:ascii="Bookman Old Style" w:hAnsi="Bookman Old Style"/>
        </w:rPr>
        <w:t xml:space="preserve"> o interessati</w:t>
      </w:r>
      <w:r w:rsidR="002B36C1" w:rsidRPr="00BC4DD4">
        <w:rPr>
          <w:rFonts w:ascii="Bookman Old Style" w:hAnsi="Bookman Old Style"/>
        </w:rPr>
        <w:t>. Difficoltà che peraltro sono destinate a perpetrarsi anche in caso di riassegnazione delle risorse ad altri enti.</w:t>
      </w:r>
    </w:p>
    <w:p w14:paraId="3CB64DF7" w14:textId="0D66F399" w:rsidR="00E22D44" w:rsidRDefault="009871D1" w:rsidP="00006C06">
      <w:pPr>
        <w:jc w:val="both"/>
        <w:rPr>
          <w:rFonts w:ascii="Bookman Old Style" w:hAnsi="Bookman Old Style"/>
        </w:rPr>
      </w:pPr>
      <w:r>
        <w:rPr>
          <w:rFonts w:ascii="Bookman Old Style" w:hAnsi="Bookman Old Style"/>
        </w:rPr>
        <w:t xml:space="preserve">Inoltre, </w:t>
      </w:r>
      <w:r w:rsidR="000805C9">
        <w:rPr>
          <w:rFonts w:ascii="Bookman Old Style" w:hAnsi="Bookman Old Style"/>
        </w:rPr>
        <w:t>durante l’esame parlamentare</w:t>
      </w:r>
      <w:r>
        <w:rPr>
          <w:rFonts w:ascii="Bookman Old Style" w:hAnsi="Bookman Old Style"/>
        </w:rPr>
        <w:t xml:space="preserve">, è stata approvata una norma che </w:t>
      </w:r>
      <w:r w:rsidRPr="009871D1">
        <w:rPr>
          <w:rFonts w:ascii="Bookman Old Style" w:hAnsi="Bookman Old Style"/>
        </w:rPr>
        <w:t xml:space="preserve">dispone che al comune di </w:t>
      </w:r>
      <w:r w:rsidRPr="009871D1">
        <w:rPr>
          <w:rFonts w:ascii="Bookman Old Style" w:hAnsi="Bookman Old Style"/>
          <w:b/>
          <w:bCs/>
        </w:rPr>
        <w:t>Lampedusa e Linosa</w:t>
      </w:r>
      <w:r w:rsidRPr="009871D1">
        <w:rPr>
          <w:rFonts w:ascii="Bookman Old Style" w:hAnsi="Bookman Old Style"/>
        </w:rPr>
        <w:t xml:space="preserve">, nonché ad </w:t>
      </w:r>
      <w:r w:rsidRPr="009871D1">
        <w:rPr>
          <w:rFonts w:ascii="Bookman Old Style" w:hAnsi="Bookman Old Style"/>
          <w:b/>
          <w:bCs/>
        </w:rPr>
        <w:t xml:space="preserve">altri </w:t>
      </w:r>
      <w:r w:rsidR="00CC2D5A">
        <w:rPr>
          <w:rFonts w:ascii="Bookman Old Style" w:hAnsi="Bookman Old Style"/>
          <w:b/>
          <w:bCs/>
        </w:rPr>
        <w:t>C</w:t>
      </w:r>
      <w:r w:rsidRPr="009871D1">
        <w:rPr>
          <w:rFonts w:ascii="Bookman Old Style" w:hAnsi="Bookman Old Style"/>
          <w:b/>
          <w:bCs/>
        </w:rPr>
        <w:t xml:space="preserve">omuni </w:t>
      </w:r>
      <w:r w:rsidRPr="009871D1">
        <w:rPr>
          <w:rFonts w:ascii="Bookman Old Style" w:hAnsi="Bookman Old Style"/>
        </w:rPr>
        <w:t xml:space="preserve">con </w:t>
      </w:r>
      <w:r w:rsidRPr="009871D1">
        <w:rPr>
          <w:rFonts w:ascii="Bookman Old Style" w:hAnsi="Bookman Old Style"/>
          <w:b/>
          <w:bCs/>
        </w:rPr>
        <w:t xml:space="preserve">analoghe condizioni </w:t>
      </w:r>
      <w:r w:rsidRPr="009871D1">
        <w:rPr>
          <w:rFonts w:ascii="Bookman Old Style" w:hAnsi="Bookman Old Style"/>
        </w:rPr>
        <w:t xml:space="preserve">di marginalità geografica, criticità amministrative connesse all’immigrazione, o esigenze di rafforzamento legato alla gestione dei fondi di sviluppo e coesione e del PNRR, possa essere assegnato un </w:t>
      </w:r>
      <w:r w:rsidRPr="009871D1">
        <w:rPr>
          <w:rFonts w:ascii="Bookman Old Style" w:hAnsi="Bookman Old Style"/>
          <w:b/>
          <w:bCs/>
        </w:rPr>
        <w:t xml:space="preserve">segretario comunale </w:t>
      </w:r>
      <w:r w:rsidRPr="009871D1">
        <w:rPr>
          <w:rFonts w:ascii="Bookman Old Style" w:hAnsi="Bookman Old Style"/>
        </w:rPr>
        <w:t xml:space="preserve">di </w:t>
      </w:r>
      <w:r w:rsidRPr="009871D1">
        <w:rPr>
          <w:rFonts w:ascii="Bookman Old Style" w:hAnsi="Bookman Old Style"/>
          <w:b/>
          <w:bCs/>
        </w:rPr>
        <w:t xml:space="preserve">fascia </w:t>
      </w:r>
      <w:r w:rsidRPr="009871D1">
        <w:rPr>
          <w:rFonts w:ascii="Bookman Old Style" w:hAnsi="Bookman Old Style"/>
        </w:rPr>
        <w:t xml:space="preserve">immediatamente </w:t>
      </w:r>
      <w:r w:rsidRPr="009871D1">
        <w:rPr>
          <w:rFonts w:ascii="Bookman Old Style" w:hAnsi="Bookman Old Style"/>
          <w:b/>
          <w:bCs/>
        </w:rPr>
        <w:t xml:space="preserve">superiore rispetto </w:t>
      </w:r>
      <w:r w:rsidRPr="009871D1">
        <w:rPr>
          <w:rFonts w:ascii="Bookman Old Style" w:hAnsi="Bookman Old Style"/>
        </w:rPr>
        <w:t xml:space="preserve">a quella </w:t>
      </w:r>
      <w:r w:rsidRPr="009871D1">
        <w:rPr>
          <w:rFonts w:ascii="Bookman Old Style" w:hAnsi="Bookman Old Style"/>
          <w:b/>
          <w:bCs/>
        </w:rPr>
        <w:t xml:space="preserve">prevista </w:t>
      </w:r>
      <w:r w:rsidRPr="009871D1">
        <w:rPr>
          <w:rFonts w:ascii="Bookman Old Style" w:hAnsi="Bookman Old Style"/>
        </w:rPr>
        <w:t>per l’ente, qualora l’ente sia nelle condizioni finanziarie di poterne sostenere le maggiori spese</w:t>
      </w:r>
      <w:r w:rsidR="00D04932">
        <w:rPr>
          <w:rFonts w:ascii="Bookman Old Style" w:hAnsi="Bookman Old Style"/>
        </w:rPr>
        <w:t>.</w:t>
      </w:r>
    </w:p>
    <w:p w14:paraId="32D11975" w14:textId="77777777" w:rsidR="007B5009" w:rsidRDefault="007B5009" w:rsidP="00006C06">
      <w:pPr>
        <w:jc w:val="both"/>
        <w:rPr>
          <w:rFonts w:ascii="Bookman Old Style" w:hAnsi="Bookman Old Style"/>
        </w:rPr>
      </w:pPr>
    </w:p>
    <w:p w14:paraId="3F4438D4" w14:textId="72ACE32D" w:rsidR="00B74979" w:rsidRPr="007B5009" w:rsidRDefault="00E35C32" w:rsidP="007B5009">
      <w:pPr>
        <w:pStyle w:val="Paragrafoelenco"/>
        <w:numPr>
          <w:ilvl w:val="0"/>
          <w:numId w:val="2"/>
        </w:numPr>
        <w:jc w:val="both"/>
        <w:rPr>
          <w:rFonts w:ascii="Bookman Old Style" w:hAnsi="Bookman Old Style"/>
          <w:b/>
          <w:bCs/>
        </w:rPr>
      </w:pPr>
      <w:r w:rsidRPr="007B5009">
        <w:rPr>
          <w:rFonts w:ascii="Bookman Old Style" w:hAnsi="Bookman Old Style"/>
          <w:b/>
          <w:bCs/>
        </w:rPr>
        <w:t>Procedure di nomina</w:t>
      </w:r>
      <w:r w:rsidR="00B74979" w:rsidRPr="007B5009">
        <w:rPr>
          <w:rFonts w:ascii="Bookman Old Style" w:hAnsi="Bookman Old Style"/>
          <w:b/>
          <w:bCs/>
        </w:rPr>
        <w:t xml:space="preserve"> Segretari comunali (Art. 9, comma 2</w:t>
      </w:r>
      <w:r w:rsidR="00B931B4" w:rsidRPr="007B5009">
        <w:rPr>
          <w:rFonts w:ascii="Bookman Old Style" w:hAnsi="Bookman Old Style"/>
          <w:b/>
          <w:bCs/>
        </w:rPr>
        <w:t>-</w:t>
      </w:r>
      <w:r w:rsidR="00B74979" w:rsidRPr="007B5009">
        <w:rPr>
          <w:rFonts w:ascii="Bookman Old Style" w:hAnsi="Bookman Old Style"/>
          <w:b/>
          <w:bCs/>
        </w:rPr>
        <w:t>bis</w:t>
      </w:r>
      <w:r w:rsidRPr="007B5009">
        <w:rPr>
          <w:rFonts w:ascii="Bookman Old Style" w:hAnsi="Bookman Old Style"/>
          <w:b/>
          <w:bCs/>
        </w:rPr>
        <w:t xml:space="preserve">, </w:t>
      </w:r>
      <w:r w:rsidR="00B74979" w:rsidRPr="007B5009">
        <w:rPr>
          <w:rFonts w:ascii="Bookman Old Style" w:hAnsi="Bookman Old Style"/>
          <w:b/>
          <w:bCs/>
        </w:rPr>
        <w:t>2-ter</w:t>
      </w:r>
      <w:r w:rsidRPr="007B5009">
        <w:rPr>
          <w:rFonts w:ascii="Bookman Old Style" w:hAnsi="Bookman Old Style"/>
          <w:b/>
          <w:bCs/>
        </w:rPr>
        <w:t>, 2-quater</w:t>
      </w:r>
      <w:r w:rsidR="00B74979" w:rsidRPr="007B5009">
        <w:rPr>
          <w:rFonts w:ascii="Bookman Old Style" w:hAnsi="Bookman Old Style"/>
          <w:b/>
          <w:bCs/>
        </w:rPr>
        <w:t>)</w:t>
      </w:r>
    </w:p>
    <w:p w14:paraId="75F166DE" w14:textId="013029FC" w:rsidR="005B2C5B" w:rsidRDefault="00E35C32" w:rsidP="00D8401A">
      <w:pPr>
        <w:spacing w:after="0"/>
        <w:jc w:val="both"/>
        <w:rPr>
          <w:rFonts w:ascii="Bookman Old Style" w:hAnsi="Bookman Old Style"/>
        </w:rPr>
      </w:pPr>
      <w:r w:rsidRPr="00977C6D">
        <w:rPr>
          <w:rFonts w:ascii="Bookman Old Style" w:hAnsi="Bookman Old Style"/>
        </w:rPr>
        <w:t>La norma</w:t>
      </w:r>
      <w:r w:rsidR="00977C6D">
        <w:rPr>
          <w:rFonts w:ascii="Bookman Old Style" w:hAnsi="Bookman Old Style"/>
        </w:rPr>
        <w:t>,</w:t>
      </w:r>
      <w:r w:rsidRPr="00977C6D">
        <w:rPr>
          <w:rFonts w:ascii="Bookman Old Style" w:hAnsi="Bookman Old Style"/>
        </w:rPr>
        <w:t xml:space="preserve"> approvata </w:t>
      </w:r>
      <w:r w:rsidR="000805C9">
        <w:rPr>
          <w:rFonts w:ascii="Bookman Old Style" w:hAnsi="Bookman Old Style"/>
        </w:rPr>
        <w:t>durante l’esame parlamentare</w:t>
      </w:r>
      <w:r w:rsidR="00977C6D">
        <w:rPr>
          <w:rFonts w:ascii="Bookman Old Style" w:hAnsi="Bookman Old Style"/>
        </w:rPr>
        <w:t>,</w:t>
      </w:r>
      <w:r w:rsidRPr="00977C6D">
        <w:rPr>
          <w:rFonts w:ascii="Bookman Old Style" w:hAnsi="Bookman Old Style"/>
        </w:rPr>
        <w:t xml:space="preserve"> stabilisce che i</w:t>
      </w:r>
      <w:r w:rsidR="00B74979" w:rsidRPr="00977C6D">
        <w:rPr>
          <w:rFonts w:ascii="Bookman Old Style" w:hAnsi="Bookman Old Style"/>
        </w:rPr>
        <w:t xml:space="preserve">l segretario comunale iscritto all'albo nazionale dei segretari comunali nella prima fascia professionale, fino a </w:t>
      </w:r>
      <w:r w:rsidR="00B74979" w:rsidRPr="00977C6D">
        <w:rPr>
          <w:rFonts w:ascii="Bookman Old Style" w:hAnsi="Bookman Old Style"/>
        </w:rPr>
        <w:lastRenderedPageBreak/>
        <w:t>quando</w:t>
      </w:r>
      <w:r w:rsidR="00B74979" w:rsidRPr="00977C6D">
        <w:rPr>
          <w:rFonts w:ascii="Bookman Old Style" w:hAnsi="Bookman Old Style"/>
          <w:b/>
          <w:bCs/>
        </w:rPr>
        <w:t xml:space="preserve"> </w:t>
      </w:r>
      <w:r w:rsidR="00B74979" w:rsidRPr="00977C6D">
        <w:rPr>
          <w:rFonts w:ascii="Bookman Old Style" w:hAnsi="Bookman Old Style"/>
        </w:rPr>
        <w:t>non consegue la prima nomina, è tenuto, a pena di cancellazione dall'albo</w:t>
      </w:r>
      <w:r w:rsidRPr="00977C6D">
        <w:rPr>
          <w:rFonts w:ascii="Bookman Old Style" w:hAnsi="Bookman Old Style"/>
        </w:rPr>
        <w:t xml:space="preserve">, </w:t>
      </w:r>
      <w:r w:rsidR="00B74979" w:rsidRPr="00977C6D">
        <w:rPr>
          <w:rFonts w:ascii="Bookman Old Style" w:hAnsi="Bookman Old Style"/>
        </w:rPr>
        <w:t>a partecipare annualmente ad almeno sei procedure di nomina pubblicizzate per la copertura delle sedi di segreteria della sezione regionale dell'albo di iscrizione per le quali è in possesso dei requisiti per la nomina ovvero, in mancanza, presso altre sezioni regionali, dandone comunicazione all'albo di competenza. Qualora non consegua la prima nomina entro il termine massimo di cinque anni dall'iscrizione all'albo, è comunque cancellato dall'albo medesimo ai sensi del</w:t>
      </w:r>
      <w:r w:rsidRPr="00977C6D">
        <w:rPr>
          <w:rFonts w:ascii="Bookman Old Style" w:hAnsi="Bookman Old Style"/>
        </w:rPr>
        <w:t>l’</w:t>
      </w:r>
      <w:r w:rsidR="00B74979" w:rsidRPr="00977C6D">
        <w:rPr>
          <w:rFonts w:ascii="Bookman Old Style" w:hAnsi="Bookman Old Style"/>
        </w:rPr>
        <w:t>articolo 13, comma 10, del regolamento di cui al decreto del Presidente della Repubblica 4 dicembre 1997, n. 465.</w:t>
      </w:r>
      <w:r w:rsidRPr="00977C6D">
        <w:br/>
      </w:r>
      <w:r w:rsidR="00B74979" w:rsidRPr="00977C6D">
        <w:rPr>
          <w:rFonts w:ascii="Bookman Old Style" w:hAnsi="Bookman Old Style"/>
        </w:rPr>
        <w:t xml:space="preserve">I posti resi disponibili dalle cancellazioni disposte </w:t>
      </w:r>
      <w:r w:rsidR="00B20613" w:rsidRPr="00977C6D">
        <w:rPr>
          <w:rFonts w:ascii="Bookman Old Style" w:hAnsi="Bookman Old Style"/>
        </w:rPr>
        <w:t>dalla presente norma</w:t>
      </w:r>
      <w:r w:rsidR="00B74979" w:rsidRPr="00977C6D">
        <w:rPr>
          <w:rFonts w:ascii="Bookman Old Style" w:hAnsi="Bookman Old Style"/>
        </w:rPr>
        <w:t> si aggiungono alle facoltà assunzionali autorizzabili per i segretari comunali secondo la normativa vigente.</w:t>
      </w:r>
      <w:r>
        <w:br/>
      </w:r>
    </w:p>
    <w:p w14:paraId="5F82C090" w14:textId="46DB8FEF" w:rsidR="00927D32" w:rsidRPr="00927D32" w:rsidRDefault="00927D32" w:rsidP="00006C06">
      <w:pPr>
        <w:jc w:val="both"/>
        <w:rPr>
          <w:rFonts w:ascii="Bookman Old Style" w:hAnsi="Bookman Old Style" w:cs="Aptos"/>
          <w:b/>
          <w:color w:val="0070C0"/>
          <w:kern w:val="0"/>
          <w14:ligatures w14:val="none"/>
        </w:rPr>
      </w:pPr>
      <w:r w:rsidRPr="00927D32">
        <w:rPr>
          <w:rFonts w:ascii="Bookman Old Style" w:hAnsi="Bookman Old Style" w:cs="Aptos"/>
          <w:b/>
          <w:color w:val="0070C0"/>
          <w:kern w:val="0"/>
          <w14:ligatures w14:val="none"/>
        </w:rPr>
        <w:t>Conferenza dei servizi</w:t>
      </w:r>
      <w:r>
        <w:rPr>
          <w:rFonts w:ascii="Bookman Old Style" w:hAnsi="Bookman Old Style" w:cs="Aptos"/>
          <w:b/>
          <w:color w:val="0070C0"/>
          <w:kern w:val="0"/>
          <w14:ligatures w14:val="none"/>
        </w:rPr>
        <w:t xml:space="preserve"> (</w:t>
      </w:r>
      <w:r w:rsidR="00F04F72">
        <w:rPr>
          <w:rFonts w:ascii="Bookman Old Style" w:hAnsi="Bookman Old Style" w:cs="Aptos"/>
          <w:b/>
          <w:color w:val="0070C0"/>
          <w:kern w:val="0"/>
          <w14:ligatures w14:val="none"/>
        </w:rPr>
        <w:t>A</w:t>
      </w:r>
      <w:r>
        <w:rPr>
          <w:rFonts w:ascii="Bookman Old Style" w:hAnsi="Bookman Old Style" w:cs="Aptos"/>
          <w:b/>
          <w:color w:val="0070C0"/>
          <w:kern w:val="0"/>
          <w14:ligatures w14:val="none"/>
        </w:rPr>
        <w:t xml:space="preserve">rt. 10, </w:t>
      </w:r>
      <w:r w:rsidR="00C77783">
        <w:rPr>
          <w:rFonts w:ascii="Bookman Old Style" w:hAnsi="Bookman Old Style" w:cs="Aptos"/>
          <w:b/>
          <w:color w:val="0070C0"/>
          <w:kern w:val="0"/>
          <w14:ligatures w14:val="none"/>
        </w:rPr>
        <w:t>comma 4)</w:t>
      </w:r>
    </w:p>
    <w:p w14:paraId="6C308BC8" w14:textId="0CBAD406" w:rsidR="00F04F72" w:rsidRPr="00F04F72" w:rsidRDefault="003637DD" w:rsidP="00F04F72">
      <w:pPr>
        <w:jc w:val="both"/>
        <w:rPr>
          <w:rFonts w:ascii="Bookman Old Style" w:hAnsi="Bookman Old Style"/>
          <w:highlight w:val="yellow"/>
        </w:rPr>
      </w:pPr>
      <w:r w:rsidRPr="00804692">
        <w:rPr>
          <w:rFonts w:ascii="Bookman Old Style" w:hAnsi="Bookman Old Style"/>
        </w:rPr>
        <w:t>La norma</w:t>
      </w:r>
      <w:r>
        <w:rPr>
          <w:rFonts w:ascii="Bookman Old Style" w:hAnsi="Bookman Old Style"/>
        </w:rPr>
        <w:t>,</w:t>
      </w:r>
      <w:r w:rsidRPr="00804692">
        <w:rPr>
          <w:rFonts w:ascii="Bookman Old Style" w:hAnsi="Bookman Old Style"/>
        </w:rPr>
        <w:t xml:space="preserve"> introdotta </w:t>
      </w:r>
      <w:r w:rsidR="000805C9">
        <w:rPr>
          <w:rFonts w:ascii="Bookman Old Style" w:hAnsi="Bookman Old Style"/>
        </w:rPr>
        <w:t>durante l’esame parlamentare</w:t>
      </w:r>
      <w:r>
        <w:rPr>
          <w:rFonts w:ascii="Bookman Old Style" w:hAnsi="Bookman Old Style"/>
        </w:rPr>
        <w:t>,</w:t>
      </w:r>
      <w:r w:rsidR="00921668" w:rsidRPr="003637DD">
        <w:rPr>
          <w:rFonts w:ascii="Bookman Old Style" w:hAnsi="Bookman Old Style"/>
        </w:rPr>
        <w:t xml:space="preserve"> </w:t>
      </w:r>
      <w:r w:rsidR="00F04F72" w:rsidRPr="003637DD">
        <w:rPr>
          <w:rFonts w:ascii="Bookman Old Style" w:hAnsi="Bookman Old Style"/>
        </w:rPr>
        <w:t xml:space="preserve">chiarisce ulteriormente l’ambito di applicazione delle previsioni di cui al comma 4.  Si ricorda che il comma 4 ha esteso la vigenza della conferenza di servizi c.d. accelerata di cui all’articolo 13, c. 1, del decreto-legge 16 luglio 2020, n. </w:t>
      </w:r>
      <w:r w:rsidRPr="003637DD">
        <w:rPr>
          <w:rFonts w:ascii="Bookman Old Style" w:hAnsi="Bookman Old Style"/>
        </w:rPr>
        <w:t>76 fino</w:t>
      </w:r>
      <w:r w:rsidR="00F04F72" w:rsidRPr="003637DD">
        <w:rPr>
          <w:rFonts w:ascii="Bookman Old Style" w:hAnsi="Bookman Old Style"/>
        </w:rPr>
        <w:t xml:space="preserve"> al 31 dicembre 2026, qualora sia necessario indire una conferenza decisoria in forma semplificata e in modalità asincrona.  L’emendamento chiarisce che  tali previsioni,   se più favorevoli, si applicano anche alle conferenze di servizi decisorie semplificate previste dal DL n. 77/2021 (Governance del Piano nazionale di ripresa e resilienza e prime misure di rafforzamento delle strutture amministrative e di accelerazione e snellimento delle procedure), dal DL n. 13/2023 (Disposizioni urgenti per l'attuazione del Piano nazionale di ripresa e resilienza (PNRR) e del Piano nazionale degli investimenti complementari al PNRR (PNC), nonché per l'attuazione delle politiche di coesione e della politica agricola comune), nonché dalle specifiche disposizioni legislative finalizzate a semplificare e agevolare la realizzazione degli obiettivi stabiliti dal PNRR e dal Piano nazionale per gli investimenti complementari al PNRR.</w:t>
      </w:r>
    </w:p>
    <w:p w14:paraId="1B9A333A" w14:textId="25118AE6" w:rsidR="00AF25D9" w:rsidRPr="002F5D73" w:rsidRDefault="002F3D43" w:rsidP="002F5D73">
      <w:pPr>
        <w:jc w:val="both"/>
        <w:rPr>
          <w:rFonts w:ascii="Bookman Old Style" w:hAnsi="Bookman Old Style" w:cs="Aptos"/>
          <w:b/>
          <w:color w:val="0070C0"/>
          <w:kern w:val="0"/>
          <w14:ligatures w14:val="none"/>
        </w:rPr>
      </w:pPr>
      <w:r w:rsidRPr="002F5D73">
        <w:rPr>
          <w:rFonts w:ascii="Bookman Old Style" w:hAnsi="Bookman Old Style" w:cs="Aptos"/>
          <w:b/>
          <w:color w:val="0070C0"/>
          <w:kern w:val="0"/>
          <w14:ligatures w14:val="none"/>
        </w:rPr>
        <w:t>Pror</w:t>
      </w:r>
      <w:r w:rsidR="00AF25D9" w:rsidRPr="002F5D73">
        <w:rPr>
          <w:rFonts w:ascii="Bookman Old Style" w:hAnsi="Bookman Old Style" w:cs="Aptos"/>
          <w:b/>
          <w:color w:val="0070C0"/>
          <w:kern w:val="0"/>
          <w14:ligatures w14:val="none"/>
        </w:rPr>
        <w:t>o</w:t>
      </w:r>
      <w:r w:rsidRPr="002F5D73">
        <w:rPr>
          <w:rFonts w:ascii="Bookman Old Style" w:hAnsi="Bookman Old Style" w:cs="Aptos"/>
          <w:b/>
          <w:color w:val="0070C0"/>
          <w:kern w:val="0"/>
          <w14:ligatures w14:val="none"/>
        </w:rPr>
        <w:t xml:space="preserve">ga </w:t>
      </w:r>
      <w:r w:rsidR="00B20613" w:rsidRPr="002F5D73">
        <w:rPr>
          <w:rFonts w:ascii="Bookman Old Style" w:hAnsi="Bookman Old Style" w:cs="Aptos"/>
          <w:b/>
          <w:color w:val="0070C0"/>
          <w:kern w:val="0"/>
          <w14:ligatures w14:val="none"/>
        </w:rPr>
        <w:t>TARI (</w:t>
      </w:r>
      <w:r w:rsidRPr="002F5D73">
        <w:rPr>
          <w:rFonts w:ascii="Bookman Old Style" w:hAnsi="Bookman Old Style" w:cs="Aptos"/>
          <w:b/>
          <w:color w:val="0070C0"/>
          <w:kern w:val="0"/>
          <w14:ligatures w14:val="none"/>
        </w:rPr>
        <w:t>Art. 10</w:t>
      </w:r>
      <w:r w:rsidR="00F2692B">
        <w:rPr>
          <w:rFonts w:ascii="Bookman Old Style" w:hAnsi="Bookman Old Style" w:cs="Aptos"/>
          <w:b/>
          <w:color w:val="0070C0"/>
          <w:kern w:val="0"/>
          <w14:ligatures w14:val="none"/>
        </w:rPr>
        <w:t>-ter</w:t>
      </w:r>
      <w:r w:rsidR="00AF25D9" w:rsidRPr="002F5D73">
        <w:rPr>
          <w:rFonts w:ascii="Bookman Old Style" w:hAnsi="Bookman Old Style" w:cs="Aptos"/>
          <w:b/>
          <w:color w:val="0070C0"/>
          <w:kern w:val="0"/>
          <w14:ligatures w14:val="none"/>
        </w:rPr>
        <w:t>)</w:t>
      </w:r>
    </w:p>
    <w:p w14:paraId="1488EF4C" w14:textId="0B5ECA86" w:rsidR="00061092" w:rsidRPr="00C835CE" w:rsidRDefault="002F3D43" w:rsidP="00AF25D9">
      <w:pPr>
        <w:jc w:val="both"/>
        <w:rPr>
          <w:rFonts w:ascii="Bookman Old Style" w:hAnsi="Bookman Old Style"/>
        </w:rPr>
      </w:pPr>
      <w:r w:rsidRPr="00804692">
        <w:rPr>
          <w:rFonts w:ascii="Bookman Old Style" w:hAnsi="Bookman Old Style"/>
        </w:rPr>
        <w:t>La norma</w:t>
      </w:r>
      <w:r w:rsidR="005B39D1">
        <w:rPr>
          <w:rFonts w:ascii="Bookman Old Style" w:hAnsi="Bookman Old Style"/>
        </w:rPr>
        <w:t>,</w:t>
      </w:r>
      <w:r w:rsidRPr="00804692">
        <w:rPr>
          <w:rFonts w:ascii="Bookman Old Style" w:hAnsi="Bookman Old Style"/>
        </w:rPr>
        <w:t xml:space="preserve"> </w:t>
      </w:r>
      <w:r w:rsidR="00E17FEA">
        <w:rPr>
          <w:rFonts w:ascii="Bookman Old Style" w:hAnsi="Bookman Old Style"/>
        </w:rPr>
        <w:t>approvata</w:t>
      </w:r>
      <w:r w:rsidR="001C7EF2">
        <w:rPr>
          <w:rFonts w:ascii="Bookman Old Style" w:hAnsi="Bookman Old Style"/>
        </w:rPr>
        <w:t xml:space="preserve"> </w:t>
      </w:r>
      <w:r w:rsidR="000805C9">
        <w:rPr>
          <w:rFonts w:ascii="Bookman Old Style" w:hAnsi="Bookman Old Style"/>
        </w:rPr>
        <w:t>durante l’esame parlamentare</w:t>
      </w:r>
      <w:r w:rsidR="005B39D1">
        <w:rPr>
          <w:rFonts w:ascii="Bookman Old Style" w:hAnsi="Bookman Old Style"/>
        </w:rPr>
        <w:t>,</w:t>
      </w:r>
      <w:r w:rsidRPr="00804692">
        <w:rPr>
          <w:rFonts w:ascii="Bookman Old Style" w:hAnsi="Bookman Old Style"/>
        </w:rPr>
        <w:t xml:space="preserve"> </w:t>
      </w:r>
      <w:r w:rsidRPr="00804692">
        <w:rPr>
          <w:rFonts w:ascii="Bookman Old Style" w:hAnsi="Bookman Old Style"/>
          <w:b/>
          <w:bCs/>
        </w:rPr>
        <w:t>d</w:t>
      </w:r>
      <w:r w:rsidR="00061092" w:rsidRPr="00804692">
        <w:rPr>
          <w:rFonts w:ascii="Bookman Old Style" w:hAnsi="Bookman Old Style"/>
          <w:b/>
          <w:bCs/>
        </w:rPr>
        <w:t>ifferisce, per l’anno corrente</w:t>
      </w:r>
      <w:r w:rsidR="00061092" w:rsidRPr="00804692">
        <w:rPr>
          <w:rFonts w:ascii="Bookman Old Style" w:hAnsi="Bookman Old Style"/>
        </w:rPr>
        <w:t xml:space="preserve">, il termine per l’approvazione da parte dei </w:t>
      </w:r>
      <w:r w:rsidR="00E17FEA">
        <w:rPr>
          <w:rFonts w:ascii="Bookman Old Style" w:hAnsi="Bookman Old Style"/>
        </w:rPr>
        <w:t>C</w:t>
      </w:r>
      <w:r w:rsidR="00061092" w:rsidRPr="00804692">
        <w:rPr>
          <w:rFonts w:ascii="Bookman Old Style" w:hAnsi="Bookman Old Style"/>
        </w:rPr>
        <w:t>omuni dei piani finanziari del servizio di gestione dei rifiuti urbani, le tariffe e i regolamenti della TARI e della tariffa corrispettiva</w:t>
      </w:r>
      <w:r w:rsidR="00AF25D9" w:rsidRPr="00804692">
        <w:rPr>
          <w:rFonts w:ascii="Bookman Old Style" w:hAnsi="Bookman Old Style"/>
        </w:rPr>
        <w:t xml:space="preserve"> </w:t>
      </w:r>
      <w:r w:rsidR="00AF25D9" w:rsidRPr="00804692">
        <w:rPr>
          <w:rFonts w:ascii="Bookman Old Style" w:hAnsi="Bookman Old Style"/>
          <w:b/>
          <w:bCs/>
        </w:rPr>
        <w:t>dal 30 aprile al 30 giugno</w:t>
      </w:r>
      <w:r w:rsidR="00061092" w:rsidRPr="00804692">
        <w:rPr>
          <w:rFonts w:ascii="Bookman Old Style" w:hAnsi="Bookman Old Style"/>
        </w:rPr>
        <w:t>. Restano fermi i termini di pagamento delle rate già stabiliti con regolamento comunale.</w:t>
      </w:r>
    </w:p>
    <w:p w14:paraId="064B56A5" w14:textId="4774C7BE" w:rsidR="0006187A" w:rsidRDefault="0006187A" w:rsidP="0006187A">
      <w:pPr>
        <w:jc w:val="both"/>
        <w:rPr>
          <w:rFonts w:ascii="Bookman Old Style" w:hAnsi="Bookman Old Style" w:cs="Aptos"/>
          <w:b/>
          <w:color w:val="0070C0"/>
          <w:kern w:val="0"/>
          <w14:ligatures w14:val="none"/>
        </w:rPr>
      </w:pPr>
      <w:r w:rsidRPr="004B2918">
        <w:rPr>
          <w:rFonts w:ascii="Bookman Old Style" w:hAnsi="Bookman Old Style" w:cs="Aptos"/>
          <w:b/>
          <w:color w:val="0070C0"/>
          <w:kern w:val="0"/>
          <w14:ligatures w14:val="none"/>
        </w:rPr>
        <w:t>Misure urgenti per la funzionalità della pubblica amministrazione (Art. 12)</w:t>
      </w:r>
    </w:p>
    <w:p w14:paraId="7664DE35" w14:textId="3BD486DC" w:rsidR="0052195E" w:rsidRDefault="0052195E" w:rsidP="0052195E">
      <w:pPr>
        <w:pStyle w:val="Paragrafoelenco"/>
        <w:numPr>
          <w:ilvl w:val="0"/>
          <w:numId w:val="2"/>
        </w:numPr>
        <w:jc w:val="both"/>
        <w:rPr>
          <w:rFonts w:ascii="Bookman Old Style" w:hAnsi="Bookman Old Style"/>
          <w:b/>
          <w:bCs/>
        </w:rPr>
      </w:pPr>
      <w:r w:rsidRPr="0052195E">
        <w:rPr>
          <w:rFonts w:ascii="Bookman Old Style" w:hAnsi="Bookman Old Style"/>
          <w:b/>
          <w:bCs/>
        </w:rPr>
        <w:t>Piano integrato di attività e di organizzazione: determinazione del fabbisogno di personale per la transizione digitale e la sicurezza informatica</w:t>
      </w:r>
      <w:r>
        <w:rPr>
          <w:rFonts w:ascii="Bookman Old Style" w:hAnsi="Bookman Old Style"/>
          <w:b/>
          <w:bCs/>
        </w:rPr>
        <w:t xml:space="preserve"> (Art. 12, comma </w:t>
      </w:r>
      <w:r w:rsidR="008615FE">
        <w:rPr>
          <w:rFonts w:ascii="Bookman Old Style" w:hAnsi="Bookman Old Style"/>
          <w:b/>
          <w:bCs/>
        </w:rPr>
        <w:t>5 e 5-bis)</w:t>
      </w:r>
    </w:p>
    <w:p w14:paraId="24077D59" w14:textId="69DCF16F" w:rsidR="008615FE" w:rsidRDefault="008615FE" w:rsidP="008615FE">
      <w:pPr>
        <w:jc w:val="both"/>
        <w:rPr>
          <w:rFonts w:ascii="Bookman Old Style" w:hAnsi="Bookman Old Style"/>
        </w:rPr>
      </w:pPr>
      <w:r w:rsidRPr="008615FE">
        <w:rPr>
          <w:rFonts w:ascii="Bookman Old Style" w:hAnsi="Bookman Old Style"/>
        </w:rPr>
        <w:t>La norma prevede che il Piano integrato di attività e di organizzazione, adottato dalle pubbliche amministrazioni, determini il fabbisogno di personale per la realizzazione della transizione digitale e per la sicurezza informatica</w:t>
      </w:r>
      <w:r w:rsidR="00D81568">
        <w:rPr>
          <w:rFonts w:ascii="Bookman Old Style" w:hAnsi="Bookman Old Style"/>
        </w:rPr>
        <w:t xml:space="preserve">, </w:t>
      </w:r>
      <w:r w:rsidRPr="008615FE">
        <w:rPr>
          <w:rFonts w:ascii="Bookman Old Style" w:hAnsi="Bookman Old Style"/>
        </w:rPr>
        <w:t>nonché, a seguito di modificazione intervenuta in sede referente, per l’innovazione tecnologica con riguardo all’intelligenza artificiale e alla gestione dei big data.</w:t>
      </w:r>
      <w:r w:rsidR="00D81568">
        <w:rPr>
          <w:rFonts w:ascii="Bookman Old Style" w:hAnsi="Bookman Old Style"/>
        </w:rPr>
        <w:t xml:space="preserve"> P</w:t>
      </w:r>
      <w:r w:rsidRPr="008615FE">
        <w:rPr>
          <w:rFonts w:ascii="Bookman Old Style" w:hAnsi="Bookman Old Style"/>
        </w:rPr>
        <w:t>revede</w:t>
      </w:r>
      <w:r w:rsidR="00835136">
        <w:rPr>
          <w:rFonts w:ascii="Bookman Old Style" w:hAnsi="Bookman Old Style"/>
        </w:rPr>
        <w:t xml:space="preserve">, altresì, </w:t>
      </w:r>
      <w:r w:rsidRPr="008615FE">
        <w:rPr>
          <w:rFonts w:ascii="Bookman Old Style" w:hAnsi="Bookman Old Style"/>
        </w:rPr>
        <w:t>che le amministrazioni pubbliche definiscano, all’interno della pianificazione in materia di formazione, appositi indirizzi in materia di transizione digitale “correlati alla dimensione e alle proprie specifiche esigenze”.</w:t>
      </w:r>
    </w:p>
    <w:p w14:paraId="0F76F50E" w14:textId="77777777" w:rsidR="00D81568" w:rsidRPr="008615FE" w:rsidRDefault="00D81568" w:rsidP="008615FE">
      <w:pPr>
        <w:jc w:val="both"/>
        <w:rPr>
          <w:rFonts w:ascii="Bookman Old Style" w:hAnsi="Bookman Old Style"/>
        </w:rPr>
      </w:pPr>
    </w:p>
    <w:p w14:paraId="1347A13B" w14:textId="63A323FF" w:rsidR="0006187A" w:rsidRPr="00BC7AE8" w:rsidRDefault="0006187A" w:rsidP="0006187A">
      <w:pPr>
        <w:pStyle w:val="Paragrafoelenco"/>
        <w:numPr>
          <w:ilvl w:val="0"/>
          <w:numId w:val="2"/>
        </w:numPr>
        <w:jc w:val="both"/>
        <w:rPr>
          <w:rFonts w:ascii="Bookman Old Style" w:hAnsi="Bookman Old Style"/>
          <w:b/>
          <w:bCs/>
        </w:rPr>
      </w:pPr>
      <w:r w:rsidRPr="00BC7AE8">
        <w:rPr>
          <w:rFonts w:ascii="Bookman Old Style" w:hAnsi="Bookman Old Style"/>
          <w:b/>
          <w:bCs/>
        </w:rPr>
        <w:lastRenderedPageBreak/>
        <w:t>Obbligo, per gli enti previdenziali e assistenziali di sottoscrivere fondi immobiliari chiusi promossi dagli enti territoriali o dalla Pubblica amministrazione centrale</w:t>
      </w:r>
      <w:r w:rsidR="004B2918" w:rsidRPr="00BC7AE8">
        <w:rPr>
          <w:rFonts w:ascii="Bookman Old Style" w:hAnsi="Bookman Old Style"/>
          <w:b/>
          <w:bCs/>
        </w:rPr>
        <w:t xml:space="preserve"> (Art. 12, comma </w:t>
      </w:r>
      <w:r w:rsidR="002120F9" w:rsidRPr="00BC7AE8">
        <w:rPr>
          <w:rFonts w:ascii="Bookman Old Style" w:hAnsi="Bookman Old Style"/>
          <w:b/>
          <w:bCs/>
        </w:rPr>
        <w:t>7</w:t>
      </w:r>
      <w:r w:rsidR="004B2918" w:rsidRPr="00BC7AE8">
        <w:rPr>
          <w:rFonts w:ascii="Bookman Old Style" w:hAnsi="Bookman Old Style"/>
          <w:b/>
          <w:bCs/>
        </w:rPr>
        <w:t>)</w:t>
      </w:r>
    </w:p>
    <w:p w14:paraId="2914E42F" w14:textId="7E1220DD" w:rsidR="0006187A" w:rsidRPr="00BC7AE8" w:rsidRDefault="0006187A" w:rsidP="0006187A">
      <w:pPr>
        <w:jc w:val="both"/>
        <w:rPr>
          <w:rFonts w:ascii="Bookman Old Style" w:hAnsi="Bookman Old Style"/>
        </w:rPr>
      </w:pPr>
      <w:r w:rsidRPr="00BC7AE8">
        <w:rPr>
          <w:rFonts w:ascii="Bookman Old Style" w:hAnsi="Bookman Old Style"/>
        </w:rPr>
        <w:t xml:space="preserve">Il comma </w:t>
      </w:r>
      <w:r w:rsidR="00196F17">
        <w:rPr>
          <w:rFonts w:ascii="Bookman Old Style" w:hAnsi="Bookman Old Style"/>
        </w:rPr>
        <w:t xml:space="preserve">7 </w:t>
      </w:r>
      <w:r w:rsidRPr="00BC7AE8">
        <w:rPr>
          <w:rFonts w:ascii="Bookman Old Style" w:hAnsi="Bookman Old Style"/>
        </w:rPr>
        <w:t>dell’art. 12 contiene una disposizione volta a rafforzare la funzionalità delle PA, attraverso l’istituzione di un obbligo, a carico degli enti assistenziali e previdenziali, per il triennio 25/27, di destinare fino al 40% del “piano di impiego dei fondi da destinare agli investimenti immobiliari” (piano previsto dall’art. 65 legge 153 aprile 1969) nella sottoscrizione dei fondi immobiliari chiusi</w:t>
      </w:r>
      <w:r w:rsidR="00623F95">
        <w:rPr>
          <w:rFonts w:ascii="Bookman Old Style" w:hAnsi="Bookman Old Style"/>
        </w:rPr>
        <w:t>,</w:t>
      </w:r>
      <w:r w:rsidRPr="00BC7AE8">
        <w:rPr>
          <w:rFonts w:ascii="Bookman Old Style" w:hAnsi="Bookman Old Style"/>
        </w:rPr>
        <w:t xml:space="preserve"> promossi dagli enti territoriali o dalla Pubblica amministrazione centrale. Si tratta di un obbligo di </w:t>
      </w:r>
      <w:r w:rsidR="008662C8" w:rsidRPr="00BC7AE8">
        <w:rPr>
          <w:rFonts w:ascii="Bookman Old Style" w:hAnsi="Bookman Old Style"/>
        </w:rPr>
        <w:t>sottoscrizione degli</w:t>
      </w:r>
      <w:r w:rsidRPr="00BC7AE8">
        <w:rPr>
          <w:rFonts w:ascii="Bookman Old Style" w:hAnsi="Bookman Old Style"/>
        </w:rPr>
        <w:t xml:space="preserve"> strumenti finanziari previsti dall’articolo 33 del Dl 98/2011, i fondi comuni d’investimento </w:t>
      </w:r>
      <w:r w:rsidR="008858C9" w:rsidRPr="00BC7AE8">
        <w:rPr>
          <w:rFonts w:ascii="Bookman Old Style" w:hAnsi="Bookman Old Style"/>
        </w:rPr>
        <w:t>immobiliare a</w:t>
      </w:r>
      <w:r w:rsidRPr="00BC7AE8">
        <w:rPr>
          <w:rFonts w:ascii="Bookman Old Style" w:hAnsi="Bookman Old Style"/>
        </w:rPr>
        <w:t xml:space="preserve"> cui sono trasferiti o conferiti gli immobili di proprietà dello Stato non più utilizzati per finalità </w:t>
      </w:r>
      <w:r w:rsidR="00806245" w:rsidRPr="00BC7AE8">
        <w:rPr>
          <w:rFonts w:ascii="Bookman Old Style" w:hAnsi="Bookman Old Style"/>
        </w:rPr>
        <w:t>istituzionali e</w:t>
      </w:r>
      <w:r w:rsidRPr="00BC7AE8">
        <w:rPr>
          <w:rFonts w:ascii="Bookman Old Style" w:hAnsi="Bookman Old Style"/>
        </w:rPr>
        <w:t xml:space="preserve"> suscettibili di valorizzazione.</w:t>
      </w:r>
    </w:p>
    <w:p w14:paraId="65F6D748" w14:textId="7E0B6960" w:rsidR="0006187A" w:rsidRDefault="0006187A" w:rsidP="004B2918">
      <w:pPr>
        <w:jc w:val="both"/>
        <w:rPr>
          <w:rFonts w:ascii="Bookman Old Style" w:hAnsi="Bookman Old Style"/>
        </w:rPr>
      </w:pPr>
      <w:r w:rsidRPr="00BC7AE8">
        <w:rPr>
          <w:rFonts w:ascii="Bookman Old Style" w:hAnsi="Bookman Old Style"/>
        </w:rPr>
        <w:t>Con questa disposizione viene</w:t>
      </w:r>
      <w:r w:rsidR="00285FCA">
        <w:rPr>
          <w:rFonts w:ascii="Bookman Old Style" w:hAnsi="Bookman Old Style"/>
        </w:rPr>
        <w:t>,</w:t>
      </w:r>
      <w:r w:rsidRPr="00BC7AE8">
        <w:rPr>
          <w:rFonts w:ascii="Bookman Old Style" w:hAnsi="Bookman Old Style"/>
        </w:rPr>
        <w:t xml:space="preserve"> infatti</w:t>
      </w:r>
      <w:r w:rsidR="00285FCA">
        <w:rPr>
          <w:rFonts w:ascii="Bookman Old Style" w:hAnsi="Bookman Old Style"/>
        </w:rPr>
        <w:t>,</w:t>
      </w:r>
      <w:r w:rsidRPr="00BC7AE8">
        <w:rPr>
          <w:rFonts w:ascii="Bookman Old Style" w:hAnsi="Bookman Old Style"/>
        </w:rPr>
        <w:t xml:space="preserve"> </w:t>
      </w:r>
      <w:r w:rsidR="00841B2B" w:rsidRPr="00BC7AE8">
        <w:rPr>
          <w:rFonts w:ascii="Bookman Old Style" w:hAnsi="Bookman Old Style"/>
        </w:rPr>
        <w:t>inserito un comma 3 bis al</w:t>
      </w:r>
      <w:r w:rsidRPr="00BC7AE8">
        <w:rPr>
          <w:rFonts w:ascii="Bookman Old Style" w:hAnsi="Bookman Old Style"/>
        </w:rPr>
        <w:t>l’art.</w:t>
      </w:r>
      <w:r w:rsidR="004B2918" w:rsidRPr="00BC7AE8">
        <w:rPr>
          <w:rFonts w:ascii="Bookman Old Style" w:hAnsi="Bookman Old Style"/>
        </w:rPr>
        <w:t xml:space="preserve"> </w:t>
      </w:r>
      <w:r w:rsidRPr="00BC7AE8">
        <w:rPr>
          <w:rFonts w:ascii="Bookman Old Style" w:hAnsi="Bookman Old Style"/>
        </w:rPr>
        <w:t>33 del DL 98/2011</w:t>
      </w:r>
      <w:r w:rsidR="00841B2B" w:rsidRPr="00BC7AE8">
        <w:rPr>
          <w:rFonts w:ascii="Bookman Old Style" w:hAnsi="Bookman Old Style"/>
        </w:rPr>
        <w:t xml:space="preserve">, che, </w:t>
      </w:r>
      <w:r w:rsidR="00610300" w:rsidRPr="00BC7AE8">
        <w:rPr>
          <w:rFonts w:ascii="Bookman Old Style" w:hAnsi="Bookman Old Style"/>
        </w:rPr>
        <w:t>con lo scopo</w:t>
      </w:r>
      <w:r w:rsidR="00841B2B" w:rsidRPr="00BC7AE8">
        <w:rPr>
          <w:rFonts w:ascii="Bookman Old Style" w:hAnsi="Bookman Old Style"/>
        </w:rPr>
        <w:t>,</w:t>
      </w:r>
      <w:r w:rsidR="00610300" w:rsidRPr="00BC7AE8">
        <w:rPr>
          <w:rFonts w:ascii="Bookman Old Style" w:hAnsi="Bookman Old Style"/>
        </w:rPr>
        <w:t xml:space="preserve"> “</w:t>
      </w:r>
      <w:r w:rsidRPr="00BC7AE8">
        <w:rPr>
          <w:rFonts w:ascii="Bookman Old Style" w:hAnsi="Bookman Old Style"/>
          <w:i/>
          <w:iCs/>
        </w:rPr>
        <w:t>di rafforzare la capacità amministrativa delle pubbliche amministrazioni e le procedure di reclutamento del personale attraverso l’ottimizzazione della logistica e la razionalizzazione degli spazi,</w:t>
      </w:r>
      <w:r w:rsidR="00610300" w:rsidRPr="00BC7AE8">
        <w:rPr>
          <w:rFonts w:ascii="Bookman Old Style" w:hAnsi="Bookman Old Style"/>
        </w:rPr>
        <w:t xml:space="preserve">” </w:t>
      </w:r>
      <w:r w:rsidR="00841B2B" w:rsidRPr="00BC7AE8">
        <w:rPr>
          <w:rFonts w:ascii="Bookman Old Style" w:hAnsi="Bookman Old Style"/>
        </w:rPr>
        <w:t xml:space="preserve"> </w:t>
      </w:r>
      <w:r w:rsidR="00610300" w:rsidRPr="00BC7AE8">
        <w:rPr>
          <w:rFonts w:ascii="Bookman Old Style" w:hAnsi="Bookman Old Style"/>
        </w:rPr>
        <w:t xml:space="preserve">prevede  </w:t>
      </w:r>
      <w:r w:rsidR="004B2918" w:rsidRPr="00BC7AE8">
        <w:rPr>
          <w:rFonts w:ascii="Bookman Old Style" w:hAnsi="Bookman Old Style"/>
        </w:rPr>
        <w:t xml:space="preserve">che </w:t>
      </w:r>
      <w:r w:rsidR="00610300" w:rsidRPr="00BC7AE8">
        <w:rPr>
          <w:rFonts w:ascii="Bookman Old Style" w:hAnsi="Bookman Old Style"/>
        </w:rPr>
        <w:t>“</w:t>
      </w:r>
      <w:r w:rsidRPr="00BC7AE8">
        <w:rPr>
          <w:rFonts w:ascii="Bookman Old Style" w:hAnsi="Bookman Old Style"/>
        </w:rPr>
        <w:t>Per gli anni 2025, 2026 e 2027, gli enti pubblici che gestiscono forme di previdenza e assistenza sociale destinano fino al quaranta per cento del piano di impiego dei fondi disponibili previsto dall'articolo 65 della legge 30 aprile 1969, n. 153 alla sottoscrizione delle quote dei fondi di cui ai commi 1, 8-</w:t>
      </w:r>
      <w:r w:rsidRPr="00BC7AE8">
        <w:rPr>
          <w:rFonts w:ascii="Bookman Old Style" w:hAnsi="Bookman Old Style"/>
          <w:i/>
          <w:iCs/>
        </w:rPr>
        <w:t xml:space="preserve">ter </w:t>
      </w:r>
      <w:r w:rsidRPr="00BC7AE8">
        <w:rPr>
          <w:rFonts w:ascii="Bookman Old Style" w:hAnsi="Bookman Old Style"/>
        </w:rPr>
        <w:t>e 8-</w:t>
      </w:r>
      <w:r w:rsidRPr="00BC7AE8">
        <w:rPr>
          <w:rFonts w:ascii="Bookman Old Style" w:hAnsi="Bookman Old Style"/>
          <w:i/>
          <w:iCs/>
        </w:rPr>
        <w:t>quater</w:t>
      </w:r>
      <w:r w:rsidRPr="00BC7AE8">
        <w:rPr>
          <w:rFonts w:ascii="Bookman Old Style" w:hAnsi="Bookman Old Style"/>
        </w:rPr>
        <w:t>, di cui una quota non superiore al venti per cento per la sottoscrizione dei fondi di cui al comma 1.</w:t>
      </w:r>
      <w:r w:rsidR="00146529">
        <w:rPr>
          <w:rFonts w:ascii="Bookman Old Style" w:hAnsi="Bookman Old Style"/>
        </w:rPr>
        <w:t>”</w:t>
      </w:r>
      <w:r w:rsidRPr="00BC7AE8">
        <w:rPr>
          <w:rFonts w:ascii="Bookman Old Style" w:hAnsi="Bookman Old Style"/>
        </w:rPr>
        <w:t>.</w:t>
      </w:r>
    </w:p>
    <w:p w14:paraId="60D4121D" w14:textId="77777777" w:rsidR="005616A7" w:rsidRPr="004B2918" w:rsidRDefault="005616A7" w:rsidP="004B2918">
      <w:pPr>
        <w:jc w:val="both"/>
        <w:rPr>
          <w:rFonts w:ascii="Bookman Old Style" w:hAnsi="Bookman Old Style"/>
        </w:rPr>
      </w:pPr>
    </w:p>
    <w:p w14:paraId="4F963DB6" w14:textId="3DEB8698" w:rsidR="00514E4A" w:rsidRDefault="00E8319F" w:rsidP="00006C06">
      <w:pPr>
        <w:jc w:val="both"/>
        <w:rPr>
          <w:rFonts w:ascii="Bookman Old Style" w:hAnsi="Bookman Old Style" w:cs="Aptos"/>
          <w:b/>
          <w:color w:val="0070C0"/>
          <w:kern w:val="0"/>
          <w14:ligatures w14:val="none"/>
        </w:rPr>
      </w:pPr>
      <w:r w:rsidRPr="00E8319F">
        <w:rPr>
          <w:rFonts w:ascii="Bookman Old Style" w:hAnsi="Bookman Old Style" w:cs="Aptos"/>
          <w:b/>
          <w:color w:val="0070C0"/>
          <w:kern w:val="0"/>
          <w14:ligatures w14:val="none"/>
        </w:rPr>
        <w:t>Inconferibilità e incompatibilità di incarichi dirigenziali</w:t>
      </w:r>
      <w:r>
        <w:rPr>
          <w:rFonts w:ascii="Bookman Old Style" w:hAnsi="Bookman Old Style" w:cs="Aptos"/>
          <w:b/>
          <w:color w:val="0070C0"/>
          <w:kern w:val="0"/>
          <w14:ligatures w14:val="none"/>
        </w:rPr>
        <w:t xml:space="preserve"> (art. 12-bis)</w:t>
      </w:r>
    </w:p>
    <w:p w14:paraId="38BB5B67" w14:textId="5D54D3F4" w:rsidR="00E8319F" w:rsidRDefault="00153D21" w:rsidP="00006C06">
      <w:pPr>
        <w:jc w:val="both"/>
        <w:rPr>
          <w:rFonts w:ascii="Bookman Old Style" w:hAnsi="Bookman Old Style"/>
        </w:rPr>
      </w:pPr>
      <w:r>
        <w:rPr>
          <w:rFonts w:ascii="Bookman Old Style" w:hAnsi="Bookman Old Style"/>
        </w:rPr>
        <w:t xml:space="preserve">La norma, </w:t>
      </w:r>
      <w:r w:rsidRPr="00804692">
        <w:rPr>
          <w:rFonts w:ascii="Bookman Old Style" w:hAnsi="Bookman Old Style"/>
        </w:rPr>
        <w:t xml:space="preserve">introdotta </w:t>
      </w:r>
      <w:r w:rsidR="000805C9">
        <w:rPr>
          <w:rFonts w:ascii="Bookman Old Style" w:hAnsi="Bookman Old Style"/>
        </w:rPr>
        <w:t>durante l’esame parlamentare</w:t>
      </w:r>
      <w:r>
        <w:rPr>
          <w:rFonts w:ascii="Bookman Old Style" w:hAnsi="Bookman Old Style"/>
        </w:rPr>
        <w:t>,</w:t>
      </w:r>
      <w:r w:rsidRPr="00153D21">
        <w:rPr>
          <w:rFonts w:ascii="Bookman Old Style" w:hAnsi="Bookman Old Style"/>
        </w:rPr>
        <w:t xml:space="preserve"> circoscrive il divieto di conferire</w:t>
      </w:r>
      <w:r w:rsidR="00C658C0">
        <w:rPr>
          <w:rFonts w:ascii="Bookman Old Style" w:hAnsi="Bookman Old Style"/>
        </w:rPr>
        <w:t xml:space="preserve"> </w:t>
      </w:r>
      <w:r w:rsidRPr="00153D21">
        <w:rPr>
          <w:rFonts w:ascii="Bookman Old Style" w:hAnsi="Bookman Old Style"/>
        </w:rPr>
        <w:t xml:space="preserve">ad ex-amministratori regionali o locali, </w:t>
      </w:r>
      <w:r w:rsidR="0092124C">
        <w:rPr>
          <w:rFonts w:ascii="Bookman Old Style" w:hAnsi="Bookman Old Style"/>
        </w:rPr>
        <w:t xml:space="preserve">ovvero ex amministratori delegati di società a controllo pubblico di </w:t>
      </w:r>
      <w:r w:rsidR="00053C2A">
        <w:rPr>
          <w:rFonts w:ascii="Bookman Old Style" w:hAnsi="Bookman Old Style"/>
        </w:rPr>
        <w:t>R</w:t>
      </w:r>
      <w:r w:rsidR="0092124C">
        <w:rPr>
          <w:rFonts w:ascii="Bookman Old Style" w:hAnsi="Bookman Old Style"/>
        </w:rPr>
        <w:t xml:space="preserve">egione e Comuni con popolazione </w:t>
      </w:r>
      <w:r w:rsidR="00053C2A">
        <w:rPr>
          <w:rFonts w:ascii="Bookman Old Style" w:hAnsi="Bookman Old Style"/>
        </w:rPr>
        <w:t>superiore</w:t>
      </w:r>
      <w:r w:rsidR="0092124C">
        <w:rPr>
          <w:rFonts w:ascii="Bookman Old Style" w:hAnsi="Bookman Old Style"/>
        </w:rPr>
        <w:t xml:space="preserve"> a 15.000 abitant</w:t>
      </w:r>
      <w:r w:rsidR="008D1682">
        <w:rPr>
          <w:rFonts w:ascii="Bookman Old Style" w:hAnsi="Bookman Old Style"/>
        </w:rPr>
        <w:t xml:space="preserve">i, </w:t>
      </w:r>
      <w:r w:rsidRPr="00153D21">
        <w:rPr>
          <w:rFonts w:ascii="Bookman Old Style" w:hAnsi="Bookman Old Style"/>
        </w:rPr>
        <w:t xml:space="preserve">incarichi dirigenziali </w:t>
      </w:r>
      <w:r w:rsidR="008D1682">
        <w:rPr>
          <w:rFonts w:ascii="Bookman Old Style" w:hAnsi="Bookman Old Style"/>
        </w:rPr>
        <w:t xml:space="preserve">esterni </w:t>
      </w:r>
      <w:r w:rsidRPr="00153D21">
        <w:rPr>
          <w:rFonts w:ascii="Bookman Old Style" w:hAnsi="Bookman Old Style"/>
        </w:rPr>
        <w:t xml:space="preserve">a tempo determinato </w:t>
      </w:r>
      <w:r w:rsidR="008D1682">
        <w:rPr>
          <w:rFonts w:ascii="Bookman Old Style" w:hAnsi="Bookman Old Style"/>
        </w:rPr>
        <w:t>nell’amministrazione regionale e locale</w:t>
      </w:r>
      <w:r w:rsidRPr="00153D21">
        <w:rPr>
          <w:rFonts w:ascii="Bookman Old Style" w:hAnsi="Bookman Old Style"/>
        </w:rPr>
        <w:t>.</w:t>
      </w:r>
    </w:p>
    <w:p w14:paraId="45CBADB9" w14:textId="77777777" w:rsidR="00E8319F" w:rsidRDefault="00E8319F" w:rsidP="00006C06">
      <w:pPr>
        <w:jc w:val="both"/>
        <w:rPr>
          <w:rFonts w:ascii="Bookman Old Style" w:hAnsi="Bookman Old Style" w:cs="Aptos"/>
          <w:b/>
          <w:color w:val="0070C0"/>
          <w:kern w:val="0"/>
          <w14:ligatures w14:val="none"/>
        </w:rPr>
      </w:pPr>
    </w:p>
    <w:p w14:paraId="138DCB0E" w14:textId="6852E7DF" w:rsidR="004A6E93" w:rsidRPr="00043189" w:rsidRDefault="00850164" w:rsidP="00006C06">
      <w:pPr>
        <w:jc w:val="both"/>
        <w:rPr>
          <w:rFonts w:ascii="Bookman Old Style" w:hAnsi="Bookman Old Style" w:cs="Aptos"/>
          <w:b/>
          <w:color w:val="0070C0"/>
          <w:kern w:val="0"/>
          <w14:ligatures w14:val="none"/>
        </w:rPr>
      </w:pPr>
      <w:r w:rsidRPr="00043189">
        <w:rPr>
          <w:rFonts w:ascii="Bookman Old Style" w:hAnsi="Bookman Old Style" w:cs="Aptos"/>
          <w:b/>
          <w:color w:val="0070C0"/>
          <w:kern w:val="0"/>
          <w14:ligatures w14:val="none"/>
        </w:rPr>
        <w:t>Misure urgenti per la progressiva armonizzazione dei trattamenti economici delle amministrazioni centrali e delle Agenzie</w:t>
      </w:r>
      <w:r w:rsidR="00043189">
        <w:rPr>
          <w:rFonts w:ascii="Bookman Old Style" w:hAnsi="Bookman Old Style" w:cs="Aptos"/>
          <w:b/>
          <w:color w:val="0070C0"/>
          <w:kern w:val="0"/>
          <w14:ligatures w14:val="none"/>
        </w:rPr>
        <w:t xml:space="preserve"> (Art. 14)</w:t>
      </w:r>
    </w:p>
    <w:p w14:paraId="418E1AB6" w14:textId="108B1264" w:rsidR="00E4760D" w:rsidRPr="00043189" w:rsidRDefault="00E4760D" w:rsidP="00043189">
      <w:pPr>
        <w:pStyle w:val="Paragrafoelenco"/>
        <w:numPr>
          <w:ilvl w:val="0"/>
          <w:numId w:val="2"/>
        </w:numPr>
        <w:jc w:val="both"/>
        <w:rPr>
          <w:rFonts w:ascii="Bookman Old Style" w:hAnsi="Bookman Old Style"/>
          <w:b/>
          <w:bCs/>
        </w:rPr>
      </w:pPr>
      <w:r w:rsidRPr="00043189">
        <w:rPr>
          <w:rFonts w:ascii="Bookman Old Style" w:hAnsi="Bookman Old Style"/>
          <w:b/>
          <w:bCs/>
        </w:rPr>
        <w:t xml:space="preserve">Superamento dei limiti </w:t>
      </w:r>
      <w:r w:rsidR="0075648D" w:rsidRPr="00043189">
        <w:rPr>
          <w:rFonts w:ascii="Bookman Old Style" w:hAnsi="Bookman Old Style"/>
          <w:b/>
          <w:bCs/>
        </w:rPr>
        <w:t>ai trattamenti economici accessori per i dipendenti e i dirigenti dello Stato</w:t>
      </w:r>
      <w:r w:rsidR="001F426D">
        <w:rPr>
          <w:rFonts w:ascii="Bookman Old Style" w:hAnsi="Bookman Old Style"/>
          <w:b/>
          <w:bCs/>
        </w:rPr>
        <w:t xml:space="preserve"> (Art. 14, comma 1)</w:t>
      </w:r>
    </w:p>
    <w:p w14:paraId="0E9CA126" w14:textId="0B8005AB" w:rsidR="00850164" w:rsidRPr="00BC4DD4" w:rsidRDefault="00850164" w:rsidP="00006C06">
      <w:pPr>
        <w:jc w:val="both"/>
        <w:rPr>
          <w:rFonts w:ascii="Bookman Old Style" w:hAnsi="Bookman Old Style"/>
        </w:rPr>
      </w:pPr>
      <w:r w:rsidRPr="00BC4DD4">
        <w:rPr>
          <w:rFonts w:ascii="Bookman Old Style" w:hAnsi="Bookman Old Style"/>
        </w:rPr>
        <w:t xml:space="preserve">Il primo comma dell’art. 14 contiene </w:t>
      </w:r>
      <w:r w:rsidR="00016E0E" w:rsidRPr="00BC4DD4">
        <w:rPr>
          <w:rFonts w:ascii="Bookman Old Style" w:hAnsi="Bookman Old Style"/>
        </w:rPr>
        <w:t xml:space="preserve">la previsione dello sblocco del limite al trattamento economico accessorio per il personale </w:t>
      </w:r>
      <w:r w:rsidR="00625D9D" w:rsidRPr="00BC4DD4">
        <w:rPr>
          <w:rFonts w:ascii="Bookman Old Style" w:hAnsi="Bookman Old Style"/>
        </w:rPr>
        <w:t>dipendente e dirigente statale</w:t>
      </w:r>
      <w:r w:rsidR="0041342F" w:rsidRPr="00BC4DD4">
        <w:rPr>
          <w:rFonts w:ascii="Bookman Old Style" w:hAnsi="Bookman Old Style"/>
        </w:rPr>
        <w:t xml:space="preserve">. </w:t>
      </w:r>
    </w:p>
    <w:p w14:paraId="4F5257EC" w14:textId="07E77185" w:rsidR="00FD3CDE" w:rsidRDefault="00FD3CDE" w:rsidP="00006C06">
      <w:pPr>
        <w:jc w:val="both"/>
        <w:rPr>
          <w:rFonts w:ascii="Bookman Old Style" w:hAnsi="Bookman Old Style"/>
        </w:rPr>
      </w:pPr>
    </w:p>
    <w:p w14:paraId="45E16DF5" w14:textId="07B62DA0" w:rsidR="006F2EB8" w:rsidRPr="001F426D" w:rsidRDefault="006F2EB8" w:rsidP="001F426D">
      <w:pPr>
        <w:pStyle w:val="Paragrafoelenco"/>
        <w:numPr>
          <w:ilvl w:val="0"/>
          <w:numId w:val="2"/>
        </w:numPr>
        <w:jc w:val="both"/>
        <w:rPr>
          <w:rFonts w:ascii="Bookman Old Style" w:hAnsi="Bookman Old Style"/>
          <w:b/>
          <w:bCs/>
        </w:rPr>
      </w:pPr>
      <w:r w:rsidRPr="001F426D">
        <w:rPr>
          <w:rFonts w:ascii="Bookman Old Style" w:hAnsi="Bookman Old Style"/>
          <w:b/>
          <w:bCs/>
        </w:rPr>
        <w:t xml:space="preserve">Trattamento economico accessorio </w:t>
      </w:r>
      <w:r w:rsidR="0073736A" w:rsidRPr="001F426D">
        <w:rPr>
          <w:rFonts w:ascii="Bookman Old Style" w:hAnsi="Bookman Old Style"/>
          <w:b/>
          <w:bCs/>
        </w:rPr>
        <w:t>(</w:t>
      </w:r>
      <w:r w:rsidR="00D21BC8" w:rsidRPr="001F426D">
        <w:rPr>
          <w:rFonts w:ascii="Bookman Old Style" w:hAnsi="Bookman Old Style"/>
          <w:b/>
          <w:bCs/>
        </w:rPr>
        <w:t xml:space="preserve">art. 14, comma 1-bis) </w:t>
      </w:r>
    </w:p>
    <w:p w14:paraId="4DB97F7D" w14:textId="6EF4F132" w:rsidR="389D80B7" w:rsidRPr="00DF43D2" w:rsidRDefault="389D80B7" w:rsidP="00DF43D2">
      <w:pPr>
        <w:jc w:val="both"/>
        <w:rPr>
          <w:rFonts w:ascii="Bookman Old Style" w:hAnsi="Bookman Old Style"/>
        </w:rPr>
      </w:pPr>
      <w:r w:rsidRPr="00157BDB">
        <w:rPr>
          <w:rFonts w:ascii="Bookman Old Style" w:hAnsi="Bookman Old Style"/>
          <w:b/>
          <w:bCs/>
        </w:rPr>
        <w:t>Accogliendo</w:t>
      </w:r>
      <w:r w:rsidR="006B2A28">
        <w:rPr>
          <w:rFonts w:ascii="Bookman Old Style" w:hAnsi="Bookman Old Style"/>
          <w:b/>
          <w:bCs/>
        </w:rPr>
        <w:t xml:space="preserve"> solo</w:t>
      </w:r>
      <w:r w:rsidRPr="00157BDB">
        <w:rPr>
          <w:rFonts w:ascii="Bookman Old Style" w:hAnsi="Bookman Old Style"/>
          <w:b/>
          <w:bCs/>
        </w:rPr>
        <w:t xml:space="preserve"> </w:t>
      </w:r>
      <w:r w:rsidR="002C256B">
        <w:rPr>
          <w:rFonts w:ascii="Bookman Old Style" w:hAnsi="Bookman Old Style"/>
          <w:b/>
          <w:bCs/>
        </w:rPr>
        <w:t xml:space="preserve">parzialmente </w:t>
      </w:r>
      <w:r w:rsidRPr="00157BDB">
        <w:rPr>
          <w:rFonts w:ascii="Bookman Old Style" w:hAnsi="Bookman Old Style"/>
          <w:b/>
          <w:bCs/>
        </w:rPr>
        <w:t xml:space="preserve">le </w:t>
      </w:r>
      <w:r w:rsidR="006B2A28">
        <w:rPr>
          <w:rFonts w:ascii="Bookman Old Style" w:hAnsi="Bookman Old Style"/>
          <w:b/>
          <w:bCs/>
        </w:rPr>
        <w:t>richieste</w:t>
      </w:r>
      <w:r w:rsidRPr="00157BDB">
        <w:rPr>
          <w:rFonts w:ascii="Bookman Old Style" w:hAnsi="Bookman Old Style"/>
          <w:b/>
          <w:bCs/>
        </w:rPr>
        <w:t xml:space="preserve"> dell’ANCI</w:t>
      </w:r>
      <w:r w:rsidR="00157BDB">
        <w:rPr>
          <w:rFonts w:ascii="Bookman Old Style" w:hAnsi="Bookman Old Style"/>
        </w:rPr>
        <w:t>,</w:t>
      </w:r>
      <w:r w:rsidR="76AF55D6" w:rsidRPr="00DF43D2">
        <w:rPr>
          <w:rFonts w:ascii="Bookman Old Style" w:hAnsi="Bookman Old Style"/>
        </w:rPr>
        <w:t xml:space="preserve"> </w:t>
      </w:r>
      <w:r w:rsidR="000805C9">
        <w:rPr>
          <w:rFonts w:ascii="Bookman Old Style" w:hAnsi="Bookman Old Style"/>
        </w:rPr>
        <w:t>il Parlamento ha</w:t>
      </w:r>
      <w:r w:rsidR="76AF55D6" w:rsidRPr="00DF43D2">
        <w:rPr>
          <w:rFonts w:ascii="Bookman Old Style" w:hAnsi="Bookman Old Style"/>
        </w:rPr>
        <w:t xml:space="preserve"> approvato un</w:t>
      </w:r>
      <w:r w:rsidR="006B2A28">
        <w:rPr>
          <w:rFonts w:ascii="Bookman Old Style" w:hAnsi="Bookman Old Style"/>
        </w:rPr>
        <w:t>a</w:t>
      </w:r>
      <w:r w:rsidR="76AF55D6" w:rsidRPr="00DF43D2">
        <w:rPr>
          <w:rFonts w:ascii="Bookman Old Style" w:hAnsi="Bookman Old Style"/>
        </w:rPr>
        <w:t xml:space="preserve"> </w:t>
      </w:r>
      <w:r w:rsidR="002C256B">
        <w:rPr>
          <w:rFonts w:ascii="Bookman Old Style" w:hAnsi="Bookman Old Style"/>
        </w:rPr>
        <w:t>norma</w:t>
      </w:r>
      <w:r w:rsidR="76AF55D6" w:rsidRPr="00DF43D2">
        <w:rPr>
          <w:rFonts w:ascii="Bookman Old Style" w:hAnsi="Bookman Old Style"/>
        </w:rPr>
        <w:t xml:space="preserve"> che </w:t>
      </w:r>
      <w:r w:rsidR="249BC074" w:rsidRPr="00DF43D2">
        <w:rPr>
          <w:rFonts w:ascii="Bookman Old Style" w:hAnsi="Bookman Old Style"/>
        </w:rPr>
        <w:t>consente di superare il blocco dei trattamenti economici del personale dei Comuni e delle Città metropolitane che perdura ormai da 15 anni.</w:t>
      </w:r>
      <w:r w:rsidR="6DE0145B" w:rsidRPr="00DF43D2">
        <w:rPr>
          <w:rFonts w:ascii="Bookman Old Style" w:hAnsi="Bookman Old Style"/>
        </w:rPr>
        <w:t xml:space="preserve"> Si ricorda infatti che il D.L. n. 78/2010 aveva congelato i fondi dei trattamenti accessori imponendone la riduzione proporzionale alle cessazioni di personale. Successivamente </w:t>
      </w:r>
      <w:r w:rsidR="1AF68C5A" w:rsidRPr="00DF43D2">
        <w:rPr>
          <w:rFonts w:ascii="Bookman Old Style" w:hAnsi="Bookman Old Style"/>
        </w:rPr>
        <w:t>il D. Lgs. n. 75/2017 aveva fissato l’ammontare complessivo dei trattamenti accessori erogati nel 2016 come limite invalicabile.</w:t>
      </w:r>
    </w:p>
    <w:p w14:paraId="3A12D17A" w14:textId="75EA0416" w:rsidR="667006C7" w:rsidRPr="00DF43D2" w:rsidRDefault="667006C7" w:rsidP="00DF43D2">
      <w:pPr>
        <w:jc w:val="both"/>
        <w:rPr>
          <w:rFonts w:ascii="Bookman Old Style" w:hAnsi="Bookman Old Style"/>
        </w:rPr>
      </w:pPr>
      <w:r w:rsidRPr="00DF43D2">
        <w:rPr>
          <w:rFonts w:ascii="Bookman Old Style" w:hAnsi="Bookman Old Style"/>
        </w:rPr>
        <w:lastRenderedPageBreak/>
        <w:t xml:space="preserve">Con </w:t>
      </w:r>
      <w:r w:rsidR="00F25AAD">
        <w:rPr>
          <w:rFonts w:ascii="Bookman Old Style" w:hAnsi="Bookman Old Style"/>
        </w:rPr>
        <w:t>la</w:t>
      </w:r>
      <w:r w:rsidRPr="00DF43D2">
        <w:rPr>
          <w:rFonts w:ascii="Bookman Old Style" w:hAnsi="Bookman Old Style"/>
        </w:rPr>
        <w:t xml:space="preserve"> misura introdotta </w:t>
      </w:r>
      <w:r w:rsidR="00594563">
        <w:rPr>
          <w:rFonts w:ascii="Bookman Old Style" w:hAnsi="Bookman Old Style"/>
        </w:rPr>
        <w:t>dalla legge di conversione</w:t>
      </w:r>
      <w:r w:rsidRPr="00DF43D2">
        <w:rPr>
          <w:rFonts w:ascii="Bookman Old Style" w:hAnsi="Bookman Old Style"/>
        </w:rPr>
        <w:t xml:space="preserve"> del D.L. n. 25/2025 si prevede finalmente un cambio di rotta, consentendo a Comuni e Citt</w:t>
      </w:r>
      <w:r w:rsidR="2EB157AD" w:rsidRPr="00DF43D2">
        <w:rPr>
          <w:rFonts w:ascii="Bookman Old Style" w:hAnsi="Bookman Old Style"/>
        </w:rPr>
        <w:t xml:space="preserve">à metropolitane </w:t>
      </w:r>
      <w:r w:rsidR="5556F551" w:rsidRPr="00DF43D2">
        <w:rPr>
          <w:rFonts w:ascii="Bookman Old Style" w:hAnsi="Bookman Old Style"/>
        </w:rPr>
        <w:t xml:space="preserve">già a decorrere dall'anno 2025, di incrementare il Fondo risorse decentrate destinato al personale in servizio, fino al conseguimento di una incidenza delle somme destinate alla componente stabile del fondo, maggiorate degli importi relativi alla remunerazione degli incarichi di posizione organizzativa, sulla spesa complessivamente sostenuta nell'anno 2023 per gli stipendi tabellari </w:t>
      </w:r>
      <w:r w:rsidR="625134D5" w:rsidRPr="00DF43D2">
        <w:rPr>
          <w:rFonts w:ascii="Bookman Old Style" w:hAnsi="Bookman Old Style"/>
        </w:rPr>
        <w:t>del personale non dirigenziale</w:t>
      </w:r>
      <w:r w:rsidR="5556F551" w:rsidRPr="00DF43D2">
        <w:rPr>
          <w:rFonts w:ascii="Bookman Old Style" w:hAnsi="Bookman Old Style"/>
        </w:rPr>
        <w:t xml:space="preserve">, non superiore al 48 per cento. </w:t>
      </w:r>
    </w:p>
    <w:p w14:paraId="6484215B" w14:textId="4A333B21" w:rsidR="76238C0C" w:rsidRPr="00DF43D2" w:rsidRDefault="002C2F2F" w:rsidP="00DF43D2">
      <w:pPr>
        <w:jc w:val="both"/>
        <w:rPr>
          <w:rFonts w:ascii="Bookman Old Style" w:hAnsi="Bookman Old Style"/>
        </w:rPr>
      </w:pPr>
      <w:r>
        <w:rPr>
          <w:rFonts w:ascii="Bookman Old Style" w:hAnsi="Bookman Old Style"/>
        </w:rPr>
        <w:t>Si fa presente, tuttavia, che l</w:t>
      </w:r>
      <w:r w:rsidR="76238C0C" w:rsidRPr="00DF43D2">
        <w:rPr>
          <w:rFonts w:ascii="Bookman Old Style" w:hAnsi="Bookman Old Style"/>
        </w:rPr>
        <w:t>a misura prevede</w:t>
      </w:r>
      <w:r>
        <w:rPr>
          <w:rFonts w:ascii="Bookman Old Style" w:hAnsi="Bookman Old Style"/>
        </w:rPr>
        <w:t>, comunque,</w:t>
      </w:r>
      <w:r w:rsidR="76238C0C" w:rsidRPr="00DF43D2">
        <w:rPr>
          <w:rFonts w:ascii="Bookman Old Style" w:hAnsi="Bookman Old Style"/>
        </w:rPr>
        <w:t xml:space="preserve"> una pluralità di strumenti di garanzia</w:t>
      </w:r>
      <w:r>
        <w:rPr>
          <w:rFonts w:ascii="Bookman Old Style" w:hAnsi="Bookman Old Style"/>
        </w:rPr>
        <w:t>, in particolare</w:t>
      </w:r>
      <w:r w:rsidR="76238C0C" w:rsidRPr="00DF43D2">
        <w:rPr>
          <w:rFonts w:ascii="Bookman Old Style" w:hAnsi="Bookman Old Style"/>
        </w:rPr>
        <w:t xml:space="preserve">: </w:t>
      </w:r>
      <w:r w:rsidR="244F88EB" w:rsidRPr="00DF43D2">
        <w:rPr>
          <w:rFonts w:ascii="Bookman Old Style" w:hAnsi="Bookman Old Style"/>
        </w:rPr>
        <w:t>deve esser</w:t>
      </w:r>
      <w:r w:rsidR="00DE05E0">
        <w:rPr>
          <w:rFonts w:ascii="Bookman Old Style" w:hAnsi="Bookman Old Style"/>
        </w:rPr>
        <w:t>ci</w:t>
      </w:r>
      <w:r w:rsidR="244F88EB" w:rsidRPr="00DF43D2">
        <w:rPr>
          <w:rFonts w:ascii="Bookman Old Style" w:hAnsi="Bookman Old Style"/>
        </w:rPr>
        <w:t xml:space="preserve"> il rispetto dei valori-soglia previsti dall’art. 33 del D.L. n. 34/</w:t>
      </w:r>
      <w:r w:rsidR="00F53518" w:rsidRPr="00DF43D2">
        <w:rPr>
          <w:rFonts w:ascii="Bookman Old Style" w:hAnsi="Bookman Old Style"/>
        </w:rPr>
        <w:t>2019</w:t>
      </w:r>
      <w:r w:rsidR="00F53518">
        <w:rPr>
          <w:rFonts w:ascii="Bookman Old Style" w:hAnsi="Bookman Old Style"/>
        </w:rPr>
        <w:t xml:space="preserve">, </w:t>
      </w:r>
      <w:r w:rsidR="00F53518" w:rsidRPr="00DF43D2">
        <w:rPr>
          <w:rFonts w:ascii="Bookman Old Style" w:hAnsi="Bookman Old Style"/>
        </w:rPr>
        <w:t>l’asseverazione</w:t>
      </w:r>
      <w:r w:rsidR="244F88EB" w:rsidRPr="00DF43D2">
        <w:rPr>
          <w:rFonts w:ascii="Bookman Old Style" w:hAnsi="Bookman Old Style"/>
        </w:rPr>
        <w:t xml:space="preserve"> dell’equilibrio pluriennale d</w:t>
      </w:r>
      <w:r w:rsidR="64790F33" w:rsidRPr="00DF43D2">
        <w:rPr>
          <w:rFonts w:ascii="Bookman Old Style" w:hAnsi="Bookman Old Style"/>
        </w:rPr>
        <w:t>i bilancio da</w:t>
      </w:r>
      <w:r w:rsidR="244F88EB" w:rsidRPr="00DF43D2">
        <w:rPr>
          <w:rFonts w:ascii="Bookman Old Style" w:hAnsi="Bookman Old Style"/>
        </w:rPr>
        <w:t xml:space="preserve"> parte dell’organo di revisione</w:t>
      </w:r>
      <w:r w:rsidR="0071708A">
        <w:rPr>
          <w:rFonts w:ascii="Bookman Old Style" w:hAnsi="Bookman Old Style"/>
        </w:rPr>
        <w:t xml:space="preserve"> e</w:t>
      </w:r>
      <w:r w:rsidR="244F88EB" w:rsidRPr="00DF43D2">
        <w:rPr>
          <w:rFonts w:ascii="Bookman Old Style" w:hAnsi="Bookman Old Style"/>
        </w:rPr>
        <w:t xml:space="preserve"> </w:t>
      </w:r>
      <w:r w:rsidR="267B3EEE" w:rsidRPr="00DF43D2">
        <w:rPr>
          <w:rFonts w:ascii="Bookman Old Style" w:hAnsi="Bookman Old Style"/>
        </w:rPr>
        <w:t>gli effetti della misura devono essere puntualmente tracciati in sede di Conto annuale.</w:t>
      </w:r>
    </w:p>
    <w:p w14:paraId="64D8006F" w14:textId="57DE0736" w:rsidR="00237B82" w:rsidRDefault="00565B43" w:rsidP="00DF43D2">
      <w:pPr>
        <w:jc w:val="both"/>
        <w:rPr>
          <w:rFonts w:ascii="Bookman Old Style" w:hAnsi="Bookman Old Style"/>
        </w:rPr>
      </w:pPr>
      <w:r>
        <w:rPr>
          <w:rFonts w:ascii="Bookman Old Style" w:hAnsi="Bookman Old Style"/>
        </w:rPr>
        <w:t xml:space="preserve">A differenza, inoltre, di quanto previsto per </w:t>
      </w:r>
      <w:r w:rsidR="00EA7015">
        <w:rPr>
          <w:rFonts w:ascii="Bookman Old Style" w:hAnsi="Bookman Old Style"/>
        </w:rPr>
        <w:t>il personale</w:t>
      </w:r>
      <w:r>
        <w:rPr>
          <w:rFonts w:ascii="Bookman Old Style" w:hAnsi="Bookman Old Style"/>
        </w:rPr>
        <w:t xml:space="preserve"> dello Stato, </w:t>
      </w:r>
      <w:r w:rsidR="000B2BD6">
        <w:rPr>
          <w:rFonts w:ascii="Bookman Old Style" w:hAnsi="Bookman Old Style"/>
        </w:rPr>
        <w:t xml:space="preserve">le eventuali maggiori risorse disponibili saranno a carico dei </w:t>
      </w:r>
      <w:r w:rsidR="00DD774A">
        <w:rPr>
          <w:rFonts w:ascii="Bookman Old Style" w:hAnsi="Bookman Old Style"/>
        </w:rPr>
        <w:t xml:space="preserve">bilanci di Comuni e Città Metropolitane mentre, </w:t>
      </w:r>
      <w:r w:rsidR="00DD774A" w:rsidRPr="00DD774A">
        <w:rPr>
          <w:rFonts w:ascii="Bookman Old Style" w:hAnsi="Bookman Old Style"/>
          <w:b/>
          <w:bCs/>
        </w:rPr>
        <w:t>come richiesto da ANCI</w:t>
      </w:r>
      <w:r w:rsidR="00DD774A">
        <w:rPr>
          <w:rFonts w:ascii="Bookman Old Style" w:hAnsi="Bookman Old Style"/>
        </w:rPr>
        <w:t xml:space="preserve">, </w:t>
      </w:r>
      <w:r w:rsidR="00EA7015">
        <w:rPr>
          <w:rFonts w:ascii="Bookman Old Style" w:hAnsi="Bookman Old Style"/>
        </w:rPr>
        <w:t>sarebbe necessario</w:t>
      </w:r>
      <w:r w:rsidR="00DD774A">
        <w:rPr>
          <w:rFonts w:ascii="Bookman Old Style" w:hAnsi="Bookman Old Style"/>
        </w:rPr>
        <w:t xml:space="preserve"> un</w:t>
      </w:r>
      <w:r w:rsidR="00EA7015">
        <w:rPr>
          <w:rFonts w:ascii="Bookman Old Style" w:hAnsi="Bookman Old Style"/>
        </w:rPr>
        <w:t xml:space="preserve"> fondo statale.</w:t>
      </w:r>
    </w:p>
    <w:p w14:paraId="6A63A4F8" w14:textId="2CCBFBE7" w:rsidR="00EA7015" w:rsidRDefault="00EA7015" w:rsidP="00DF43D2">
      <w:pPr>
        <w:jc w:val="both"/>
        <w:rPr>
          <w:rFonts w:ascii="Bookman Old Style" w:hAnsi="Bookman Old Style"/>
        </w:rPr>
      </w:pPr>
      <w:r>
        <w:rPr>
          <w:rFonts w:ascii="Bookman Old Style" w:hAnsi="Bookman Old Style"/>
        </w:rPr>
        <w:t xml:space="preserve">Occorrerebbe, </w:t>
      </w:r>
      <w:r w:rsidR="008E1394">
        <w:rPr>
          <w:rFonts w:ascii="Bookman Old Style" w:hAnsi="Bookman Old Style"/>
        </w:rPr>
        <w:t>infine</w:t>
      </w:r>
      <w:r>
        <w:rPr>
          <w:rFonts w:ascii="Bookman Old Style" w:hAnsi="Bookman Old Style"/>
        </w:rPr>
        <w:t>, estendere le nuove regole al fo</w:t>
      </w:r>
      <w:r w:rsidR="00841D07">
        <w:rPr>
          <w:rFonts w:ascii="Bookman Old Style" w:hAnsi="Bookman Old Style"/>
        </w:rPr>
        <w:t xml:space="preserve">ndo della dirigenza, </w:t>
      </w:r>
      <w:r w:rsidR="00FD2E84">
        <w:rPr>
          <w:rFonts w:ascii="Bookman Old Style" w:hAnsi="Bookman Old Style"/>
        </w:rPr>
        <w:t>nonché</w:t>
      </w:r>
      <w:r w:rsidR="00841D07">
        <w:rPr>
          <w:rFonts w:ascii="Bookman Old Style" w:hAnsi="Bookman Old Style"/>
        </w:rPr>
        <w:t xml:space="preserve"> al personale de</w:t>
      </w:r>
      <w:r w:rsidR="00F57FE9">
        <w:rPr>
          <w:rFonts w:ascii="Bookman Old Style" w:hAnsi="Bookman Old Style"/>
        </w:rPr>
        <w:t xml:space="preserve">lle Unioni dei </w:t>
      </w:r>
      <w:r w:rsidR="00841D07">
        <w:rPr>
          <w:rFonts w:ascii="Bookman Old Style" w:hAnsi="Bookman Old Style"/>
        </w:rPr>
        <w:t>Comuni e degli altri enti</w:t>
      </w:r>
      <w:r w:rsidR="00DB56F8">
        <w:rPr>
          <w:rFonts w:ascii="Bookman Old Style" w:hAnsi="Bookman Old Style"/>
        </w:rPr>
        <w:t xml:space="preserve"> del comparto funzioni locali.</w:t>
      </w:r>
    </w:p>
    <w:p w14:paraId="7B01F5CB" w14:textId="77777777" w:rsidR="00DF4631" w:rsidRDefault="00DF4631" w:rsidP="00DF43D2">
      <w:pPr>
        <w:jc w:val="both"/>
        <w:rPr>
          <w:rFonts w:ascii="Bookman Old Style" w:hAnsi="Bookman Old Style"/>
        </w:rPr>
      </w:pPr>
    </w:p>
    <w:p w14:paraId="7F1BD723" w14:textId="7B3FAD67" w:rsidR="00237B82" w:rsidRPr="00237B82" w:rsidRDefault="00237B82" w:rsidP="00DF43D2">
      <w:pPr>
        <w:jc w:val="both"/>
        <w:rPr>
          <w:rFonts w:ascii="Bookman Old Style" w:hAnsi="Bookman Old Style" w:cs="Aptos"/>
          <w:b/>
          <w:color w:val="0070C0"/>
          <w:kern w:val="0"/>
          <w14:ligatures w14:val="none"/>
        </w:rPr>
      </w:pPr>
      <w:r w:rsidRPr="00237B82">
        <w:rPr>
          <w:rFonts w:ascii="Bookman Old Style" w:hAnsi="Bookman Old Style" w:cs="Aptos"/>
          <w:b/>
          <w:color w:val="0070C0"/>
          <w:kern w:val="0"/>
          <w14:ligatures w14:val="none"/>
        </w:rPr>
        <w:t>Funzionalità delle pubbliche amministrazioni operanti nel settore della mobilità</w:t>
      </w:r>
      <w:r w:rsidR="00707583">
        <w:rPr>
          <w:rFonts w:ascii="Bookman Old Style" w:hAnsi="Bookman Old Style" w:cs="Aptos"/>
          <w:b/>
          <w:color w:val="0070C0"/>
          <w:kern w:val="0"/>
          <w14:ligatures w14:val="none"/>
        </w:rPr>
        <w:t xml:space="preserve"> (art. 15-bis)</w:t>
      </w:r>
    </w:p>
    <w:p w14:paraId="64B17DB4" w14:textId="0C4E1149" w:rsidR="008F4828" w:rsidRDefault="008F619C" w:rsidP="008F4828">
      <w:pPr>
        <w:spacing w:after="0" w:line="240" w:lineRule="auto"/>
        <w:jc w:val="both"/>
        <w:rPr>
          <w:rFonts w:ascii="Bookman Old Style" w:hAnsi="Bookman Old Style"/>
        </w:rPr>
      </w:pPr>
      <w:r>
        <w:rPr>
          <w:rFonts w:ascii="Bookman Old Style" w:hAnsi="Bookman Old Style"/>
        </w:rPr>
        <w:t>La norma</w:t>
      </w:r>
      <w:r w:rsidRPr="008F619C">
        <w:rPr>
          <w:rFonts w:ascii="Bookman Old Style" w:hAnsi="Bookman Old Style"/>
          <w:b/>
          <w:bCs/>
        </w:rPr>
        <w:t xml:space="preserve">, </w:t>
      </w:r>
      <w:r w:rsidR="00502800">
        <w:rPr>
          <w:rFonts w:ascii="Bookman Old Style" w:hAnsi="Bookman Old Style"/>
        </w:rPr>
        <w:t>approvata</w:t>
      </w:r>
      <w:r w:rsidRPr="00804692">
        <w:rPr>
          <w:rFonts w:ascii="Bookman Old Style" w:hAnsi="Bookman Old Style"/>
        </w:rPr>
        <w:t xml:space="preserve"> </w:t>
      </w:r>
      <w:r w:rsidR="00711965">
        <w:rPr>
          <w:rFonts w:ascii="Bookman Old Style" w:hAnsi="Bookman Old Style"/>
        </w:rPr>
        <w:t xml:space="preserve">durante l’esame parlamentare </w:t>
      </w:r>
      <w:r w:rsidR="00502800">
        <w:rPr>
          <w:rFonts w:ascii="Bookman Old Style" w:hAnsi="Bookman Old Style"/>
        </w:rPr>
        <w:t xml:space="preserve">e </w:t>
      </w:r>
      <w:r w:rsidR="00502800" w:rsidRPr="00502800">
        <w:rPr>
          <w:rFonts w:ascii="Bookman Old Style" w:hAnsi="Bookman Old Style"/>
          <w:b/>
          <w:bCs/>
        </w:rPr>
        <w:t>richiesta dall’ANCI</w:t>
      </w:r>
      <w:r w:rsidR="00502800">
        <w:rPr>
          <w:rFonts w:ascii="Bookman Old Style" w:hAnsi="Bookman Old Style"/>
        </w:rPr>
        <w:t xml:space="preserve"> </w:t>
      </w:r>
      <w:r w:rsidRPr="008F619C">
        <w:rPr>
          <w:rFonts w:ascii="Bookman Old Style" w:hAnsi="Bookman Old Style"/>
        </w:rPr>
        <w:t>al fine di garantire l'efficace realizzazione degli interventi del programma per la promozione della mobilità sostenibile</w:t>
      </w:r>
      <w:r w:rsidR="007B1C44">
        <w:rPr>
          <w:rFonts w:ascii="Bookman Old Style" w:hAnsi="Bookman Old Style"/>
        </w:rPr>
        <w:t>,</w:t>
      </w:r>
      <w:r w:rsidRPr="008F619C">
        <w:rPr>
          <w:rFonts w:ascii="Bookman Old Style" w:hAnsi="Bookman Old Style"/>
        </w:rPr>
        <w:t xml:space="preserve"> </w:t>
      </w:r>
      <w:r w:rsidR="007B1C44">
        <w:rPr>
          <w:rFonts w:ascii="Bookman Old Style" w:hAnsi="Bookman Old Style"/>
        </w:rPr>
        <w:t>consente di attribuire incarichi retribuiti a lavoratori collocati in quiescenza</w:t>
      </w:r>
      <w:r w:rsidR="006E5291">
        <w:rPr>
          <w:rFonts w:ascii="Bookman Old Style" w:hAnsi="Bookman Old Style"/>
        </w:rPr>
        <w:t>,</w:t>
      </w:r>
      <w:r w:rsidR="007B1C44">
        <w:rPr>
          <w:rFonts w:ascii="Bookman Old Style" w:hAnsi="Bookman Old Style"/>
        </w:rPr>
        <w:t xml:space="preserve"> in deroga alla normativa vigente</w:t>
      </w:r>
      <w:r w:rsidR="006E5291">
        <w:rPr>
          <w:rFonts w:ascii="Bookman Old Style" w:hAnsi="Bookman Old Style"/>
        </w:rPr>
        <w:t>.</w:t>
      </w:r>
    </w:p>
    <w:p w14:paraId="4A586183" w14:textId="429A816F" w:rsidR="00DE28F0" w:rsidRPr="00DE28F0" w:rsidRDefault="00DE28F0" w:rsidP="008F4828">
      <w:pPr>
        <w:spacing w:after="0" w:line="240" w:lineRule="auto"/>
        <w:jc w:val="both"/>
        <w:rPr>
          <w:rFonts w:ascii="Bookman Old Style" w:hAnsi="Bookman Old Style"/>
        </w:rPr>
      </w:pPr>
    </w:p>
    <w:sectPr w:rsidR="00DE28F0" w:rsidRPr="00DE28F0">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9E363" w14:textId="77777777" w:rsidR="0027457C" w:rsidRDefault="0027457C" w:rsidP="00272C5B">
      <w:pPr>
        <w:spacing w:after="0" w:line="240" w:lineRule="auto"/>
      </w:pPr>
      <w:r>
        <w:separator/>
      </w:r>
    </w:p>
  </w:endnote>
  <w:endnote w:type="continuationSeparator" w:id="0">
    <w:p w14:paraId="2C8C720A" w14:textId="77777777" w:rsidR="0027457C" w:rsidRDefault="0027457C" w:rsidP="00272C5B">
      <w:pPr>
        <w:spacing w:after="0" w:line="240" w:lineRule="auto"/>
      </w:pPr>
      <w:r>
        <w:continuationSeparator/>
      </w:r>
    </w:p>
  </w:endnote>
  <w:endnote w:type="continuationNotice" w:id="1">
    <w:p w14:paraId="446E9F02" w14:textId="77777777" w:rsidR="0027457C" w:rsidRDefault="002745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charset w:val="00"/>
    <w:family w:val="auto"/>
    <w:pitch w:val="variable"/>
    <w:sig w:usb0="E0000AFF" w:usb1="5000217F" w:usb2="00000021" w:usb3="00000000" w:csb0="000001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3755477"/>
      <w:docPartObj>
        <w:docPartGallery w:val="Page Numbers (Bottom of Page)"/>
        <w:docPartUnique/>
      </w:docPartObj>
    </w:sdtPr>
    <w:sdtContent>
      <w:p w14:paraId="16139815" w14:textId="27A43677" w:rsidR="00272C5B" w:rsidRDefault="00272C5B">
        <w:pPr>
          <w:pStyle w:val="Pidipagina"/>
          <w:jc w:val="center"/>
        </w:pPr>
        <w:r>
          <w:fldChar w:fldCharType="begin"/>
        </w:r>
        <w:r>
          <w:instrText>PAGE   \* MERGEFORMAT</w:instrText>
        </w:r>
        <w:r>
          <w:fldChar w:fldCharType="separate"/>
        </w:r>
        <w:r>
          <w:t>2</w:t>
        </w:r>
        <w:r>
          <w:fldChar w:fldCharType="end"/>
        </w:r>
      </w:p>
    </w:sdtContent>
  </w:sdt>
  <w:p w14:paraId="37DDCE2F" w14:textId="77777777" w:rsidR="00272C5B" w:rsidRDefault="00272C5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F21EE" w14:textId="77777777" w:rsidR="0027457C" w:rsidRDefault="0027457C" w:rsidP="00272C5B">
      <w:pPr>
        <w:spacing w:after="0" w:line="240" w:lineRule="auto"/>
      </w:pPr>
      <w:r>
        <w:separator/>
      </w:r>
    </w:p>
  </w:footnote>
  <w:footnote w:type="continuationSeparator" w:id="0">
    <w:p w14:paraId="451E5E14" w14:textId="77777777" w:rsidR="0027457C" w:rsidRDefault="0027457C" w:rsidP="00272C5B">
      <w:pPr>
        <w:spacing w:after="0" w:line="240" w:lineRule="auto"/>
      </w:pPr>
      <w:r>
        <w:continuationSeparator/>
      </w:r>
    </w:p>
  </w:footnote>
  <w:footnote w:type="continuationNotice" w:id="1">
    <w:p w14:paraId="1C82DDC4" w14:textId="77777777" w:rsidR="0027457C" w:rsidRDefault="0027457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BD3"/>
    <w:multiLevelType w:val="hybridMultilevel"/>
    <w:tmpl w:val="FFFFFFFF"/>
    <w:lvl w:ilvl="0" w:tplc="85F80FDC">
      <w:start w:val="1"/>
      <w:numFmt w:val="decimal"/>
      <w:lvlText w:val="%1"/>
      <w:lvlJc w:val="left"/>
      <w:pPr>
        <w:ind w:left="360"/>
      </w:pPr>
      <w:rPr>
        <w:rFonts w:ascii="Roboto" w:eastAsia="Roboto" w:hAnsi="Roboto" w:cs="Roboto"/>
        <w:b w:val="0"/>
        <w:i w:val="0"/>
        <w:strike w:val="0"/>
        <w:dstrike w:val="0"/>
        <w:color w:val="333333"/>
        <w:sz w:val="23"/>
        <w:szCs w:val="23"/>
        <w:u w:val="none" w:color="000000"/>
        <w:bdr w:val="none" w:sz="0" w:space="0" w:color="auto"/>
        <w:shd w:val="clear" w:color="auto" w:fill="auto"/>
        <w:vertAlign w:val="baseline"/>
      </w:rPr>
    </w:lvl>
    <w:lvl w:ilvl="1" w:tplc="D13C6698">
      <w:start w:val="1"/>
      <w:numFmt w:val="lowerLetter"/>
      <w:lvlRestart w:val="0"/>
      <w:lvlText w:val="%2)"/>
      <w:lvlJc w:val="left"/>
      <w:pPr>
        <w:ind w:left="981"/>
      </w:pPr>
      <w:rPr>
        <w:rFonts w:ascii="Roboto" w:eastAsia="Roboto" w:hAnsi="Roboto" w:cs="Roboto"/>
        <w:b w:val="0"/>
        <w:i w:val="0"/>
        <w:strike w:val="0"/>
        <w:dstrike w:val="0"/>
        <w:color w:val="333333"/>
        <w:sz w:val="23"/>
        <w:szCs w:val="23"/>
        <w:u w:val="none" w:color="000000"/>
        <w:bdr w:val="none" w:sz="0" w:space="0" w:color="auto"/>
        <w:shd w:val="clear" w:color="auto" w:fill="auto"/>
        <w:vertAlign w:val="baseline"/>
      </w:rPr>
    </w:lvl>
    <w:lvl w:ilvl="2" w:tplc="65AE3B98">
      <w:start w:val="1"/>
      <w:numFmt w:val="lowerRoman"/>
      <w:lvlText w:val="%3"/>
      <w:lvlJc w:val="left"/>
      <w:pPr>
        <w:ind w:left="1590"/>
      </w:pPr>
      <w:rPr>
        <w:rFonts w:ascii="Roboto" w:eastAsia="Roboto" w:hAnsi="Roboto" w:cs="Roboto"/>
        <w:b w:val="0"/>
        <w:i w:val="0"/>
        <w:strike w:val="0"/>
        <w:dstrike w:val="0"/>
        <w:color w:val="333333"/>
        <w:sz w:val="23"/>
        <w:szCs w:val="23"/>
        <w:u w:val="none" w:color="000000"/>
        <w:bdr w:val="none" w:sz="0" w:space="0" w:color="auto"/>
        <w:shd w:val="clear" w:color="auto" w:fill="auto"/>
        <w:vertAlign w:val="baseline"/>
      </w:rPr>
    </w:lvl>
    <w:lvl w:ilvl="3" w:tplc="81FC3CF4">
      <w:start w:val="1"/>
      <w:numFmt w:val="decimal"/>
      <w:lvlText w:val="%4"/>
      <w:lvlJc w:val="left"/>
      <w:pPr>
        <w:ind w:left="2310"/>
      </w:pPr>
      <w:rPr>
        <w:rFonts w:ascii="Roboto" w:eastAsia="Roboto" w:hAnsi="Roboto" w:cs="Roboto"/>
        <w:b w:val="0"/>
        <w:i w:val="0"/>
        <w:strike w:val="0"/>
        <w:dstrike w:val="0"/>
        <w:color w:val="333333"/>
        <w:sz w:val="23"/>
        <w:szCs w:val="23"/>
        <w:u w:val="none" w:color="000000"/>
        <w:bdr w:val="none" w:sz="0" w:space="0" w:color="auto"/>
        <w:shd w:val="clear" w:color="auto" w:fill="auto"/>
        <w:vertAlign w:val="baseline"/>
      </w:rPr>
    </w:lvl>
    <w:lvl w:ilvl="4" w:tplc="D5F83964">
      <w:start w:val="1"/>
      <w:numFmt w:val="lowerLetter"/>
      <w:lvlText w:val="%5"/>
      <w:lvlJc w:val="left"/>
      <w:pPr>
        <w:ind w:left="3030"/>
      </w:pPr>
      <w:rPr>
        <w:rFonts w:ascii="Roboto" w:eastAsia="Roboto" w:hAnsi="Roboto" w:cs="Roboto"/>
        <w:b w:val="0"/>
        <w:i w:val="0"/>
        <w:strike w:val="0"/>
        <w:dstrike w:val="0"/>
        <w:color w:val="333333"/>
        <w:sz w:val="23"/>
        <w:szCs w:val="23"/>
        <w:u w:val="none" w:color="000000"/>
        <w:bdr w:val="none" w:sz="0" w:space="0" w:color="auto"/>
        <w:shd w:val="clear" w:color="auto" w:fill="auto"/>
        <w:vertAlign w:val="baseline"/>
      </w:rPr>
    </w:lvl>
    <w:lvl w:ilvl="5" w:tplc="44F62336">
      <w:start w:val="1"/>
      <w:numFmt w:val="lowerRoman"/>
      <w:lvlText w:val="%6"/>
      <w:lvlJc w:val="left"/>
      <w:pPr>
        <w:ind w:left="3750"/>
      </w:pPr>
      <w:rPr>
        <w:rFonts w:ascii="Roboto" w:eastAsia="Roboto" w:hAnsi="Roboto" w:cs="Roboto"/>
        <w:b w:val="0"/>
        <w:i w:val="0"/>
        <w:strike w:val="0"/>
        <w:dstrike w:val="0"/>
        <w:color w:val="333333"/>
        <w:sz w:val="23"/>
        <w:szCs w:val="23"/>
        <w:u w:val="none" w:color="000000"/>
        <w:bdr w:val="none" w:sz="0" w:space="0" w:color="auto"/>
        <w:shd w:val="clear" w:color="auto" w:fill="auto"/>
        <w:vertAlign w:val="baseline"/>
      </w:rPr>
    </w:lvl>
    <w:lvl w:ilvl="6" w:tplc="12C45D5A">
      <w:start w:val="1"/>
      <w:numFmt w:val="decimal"/>
      <w:lvlText w:val="%7"/>
      <w:lvlJc w:val="left"/>
      <w:pPr>
        <w:ind w:left="4470"/>
      </w:pPr>
      <w:rPr>
        <w:rFonts w:ascii="Roboto" w:eastAsia="Roboto" w:hAnsi="Roboto" w:cs="Roboto"/>
        <w:b w:val="0"/>
        <w:i w:val="0"/>
        <w:strike w:val="0"/>
        <w:dstrike w:val="0"/>
        <w:color w:val="333333"/>
        <w:sz w:val="23"/>
        <w:szCs w:val="23"/>
        <w:u w:val="none" w:color="000000"/>
        <w:bdr w:val="none" w:sz="0" w:space="0" w:color="auto"/>
        <w:shd w:val="clear" w:color="auto" w:fill="auto"/>
        <w:vertAlign w:val="baseline"/>
      </w:rPr>
    </w:lvl>
    <w:lvl w:ilvl="7" w:tplc="BF1C0DEC">
      <w:start w:val="1"/>
      <w:numFmt w:val="lowerLetter"/>
      <w:lvlText w:val="%8"/>
      <w:lvlJc w:val="left"/>
      <w:pPr>
        <w:ind w:left="5190"/>
      </w:pPr>
      <w:rPr>
        <w:rFonts w:ascii="Roboto" w:eastAsia="Roboto" w:hAnsi="Roboto" w:cs="Roboto"/>
        <w:b w:val="0"/>
        <w:i w:val="0"/>
        <w:strike w:val="0"/>
        <w:dstrike w:val="0"/>
        <w:color w:val="333333"/>
        <w:sz w:val="23"/>
        <w:szCs w:val="23"/>
        <w:u w:val="none" w:color="000000"/>
        <w:bdr w:val="none" w:sz="0" w:space="0" w:color="auto"/>
        <w:shd w:val="clear" w:color="auto" w:fill="auto"/>
        <w:vertAlign w:val="baseline"/>
      </w:rPr>
    </w:lvl>
    <w:lvl w:ilvl="8" w:tplc="819A8D70">
      <w:start w:val="1"/>
      <w:numFmt w:val="lowerRoman"/>
      <w:lvlText w:val="%9"/>
      <w:lvlJc w:val="left"/>
      <w:pPr>
        <w:ind w:left="5910"/>
      </w:pPr>
      <w:rPr>
        <w:rFonts w:ascii="Roboto" w:eastAsia="Roboto" w:hAnsi="Roboto" w:cs="Roboto"/>
        <w:b w:val="0"/>
        <w:i w:val="0"/>
        <w:strike w:val="0"/>
        <w:dstrike w:val="0"/>
        <w:color w:val="333333"/>
        <w:sz w:val="23"/>
        <w:szCs w:val="23"/>
        <w:u w:val="none" w:color="000000"/>
        <w:bdr w:val="none" w:sz="0" w:space="0" w:color="auto"/>
        <w:shd w:val="clear" w:color="auto" w:fill="auto"/>
        <w:vertAlign w:val="baseline"/>
      </w:rPr>
    </w:lvl>
  </w:abstractNum>
  <w:abstractNum w:abstractNumId="1" w15:restartNumberingAfterBreak="0">
    <w:nsid w:val="56D877B2"/>
    <w:multiLevelType w:val="hybridMultilevel"/>
    <w:tmpl w:val="71E4B34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13B4E6C"/>
    <w:multiLevelType w:val="hybridMultilevel"/>
    <w:tmpl w:val="4730891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EB81F4E"/>
    <w:multiLevelType w:val="hybridMultilevel"/>
    <w:tmpl w:val="ACC0F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7ECC2ED1"/>
    <w:multiLevelType w:val="hybridMultilevel"/>
    <w:tmpl w:val="718C8B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238980992">
    <w:abstractNumId w:val="1"/>
  </w:num>
  <w:num w:numId="2" w16cid:durableId="351690987">
    <w:abstractNumId w:val="2"/>
  </w:num>
  <w:num w:numId="3" w16cid:durableId="533271627">
    <w:abstractNumId w:val="0"/>
  </w:num>
  <w:num w:numId="4" w16cid:durableId="654068698">
    <w:abstractNumId w:val="4"/>
  </w:num>
  <w:num w:numId="5" w16cid:durableId="10404786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9B4"/>
    <w:rsid w:val="00000750"/>
    <w:rsid w:val="00004AB4"/>
    <w:rsid w:val="0000629E"/>
    <w:rsid w:val="00006C06"/>
    <w:rsid w:val="00012767"/>
    <w:rsid w:val="00016E0E"/>
    <w:rsid w:val="00021172"/>
    <w:rsid w:val="00021280"/>
    <w:rsid w:val="00021947"/>
    <w:rsid w:val="00030007"/>
    <w:rsid w:val="0003215B"/>
    <w:rsid w:val="0003561E"/>
    <w:rsid w:val="0004133B"/>
    <w:rsid w:val="00041E2E"/>
    <w:rsid w:val="00043189"/>
    <w:rsid w:val="00047E65"/>
    <w:rsid w:val="00053940"/>
    <w:rsid w:val="00053C2A"/>
    <w:rsid w:val="00055742"/>
    <w:rsid w:val="00061092"/>
    <w:rsid w:val="0006187A"/>
    <w:rsid w:val="0006233D"/>
    <w:rsid w:val="00066471"/>
    <w:rsid w:val="00070B80"/>
    <w:rsid w:val="00070E33"/>
    <w:rsid w:val="00071951"/>
    <w:rsid w:val="00072A04"/>
    <w:rsid w:val="000805C9"/>
    <w:rsid w:val="00080FD3"/>
    <w:rsid w:val="00085590"/>
    <w:rsid w:val="00086B2F"/>
    <w:rsid w:val="000908EE"/>
    <w:rsid w:val="00093FEC"/>
    <w:rsid w:val="000A3F93"/>
    <w:rsid w:val="000A4B11"/>
    <w:rsid w:val="000A65AB"/>
    <w:rsid w:val="000A6F30"/>
    <w:rsid w:val="000A788B"/>
    <w:rsid w:val="000B046A"/>
    <w:rsid w:val="000B1A78"/>
    <w:rsid w:val="000B2BD6"/>
    <w:rsid w:val="000B5B75"/>
    <w:rsid w:val="000B7391"/>
    <w:rsid w:val="000B7B27"/>
    <w:rsid w:val="000B7BFB"/>
    <w:rsid w:val="000C1112"/>
    <w:rsid w:val="000C49B3"/>
    <w:rsid w:val="000C75B5"/>
    <w:rsid w:val="000D0767"/>
    <w:rsid w:val="000D0A35"/>
    <w:rsid w:val="000D3F65"/>
    <w:rsid w:val="000E2E70"/>
    <w:rsid w:val="000E48F1"/>
    <w:rsid w:val="000F3A72"/>
    <w:rsid w:val="000F44D7"/>
    <w:rsid w:val="000F58DF"/>
    <w:rsid w:val="000F6913"/>
    <w:rsid w:val="000F6B51"/>
    <w:rsid w:val="000F7091"/>
    <w:rsid w:val="000F756D"/>
    <w:rsid w:val="00100316"/>
    <w:rsid w:val="00100C23"/>
    <w:rsid w:val="00102E71"/>
    <w:rsid w:val="00103C2C"/>
    <w:rsid w:val="001110A1"/>
    <w:rsid w:val="00114594"/>
    <w:rsid w:val="0011589A"/>
    <w:rsid w:val="001175AB"/>
    <w:rsid w:val="00122C2E"/>
    <w:rsid w:val="001245FC"/>
    <w:rsid w:val="00125D65"/>
    <w:rsid w:val="00133641"/>
    <w:rsid w:val="0013552C"/>
    <w:rsid w:val="00142A8F"/>
    <w:rsid w:val="0014305B"/>
    <w:rsid w:val="00146529"/>
    <w:rsid w:val="00147487"/>
    <w:rsid w:val="00153D21"/>
    <w:rsid w:val="00157475"/>
    <w:rsid w:val="00157BDB"/>
    <w:rsid w:val="00161425"/>
    <w:rsid w:val="00162B6A"/>
    <w:rsid w:val="00162D74"/>
    <w:rsid w:val="00162FF0"/>
    <w:rsid w:val="001660D9"/>
    <w:rsid w:val="00171B7F"/>
    <w:rsid w:val="001722FE"/>
    <w:rsid w:val="001731EA"/>
    <w:rsid w:val="001732B5"/>
    <w:rsid w:val="00176581"/>
    <w:rsid w:val="00176E97"/>
    <w:rsid w:val="00180215"/>
    <w:rsid w:val="00187425"/>
    <w:rsid w:val="00195F31"/>
    <w:rsid w:val="00196959"/>
    <w:rsid w:val="00196F17"/>
    <w:rsid w:val="001A02F2"/>
    <w:rsid w:val="001A168D"/>
    <w:rsid w:val="001A17A4"/>
    <w:rsid w:val="001A1867"/>
    <w:rsid w:val="001A7657"/>
    <w:rsid w:val="001B30EA"/>
    <w:rsid w:val="001B3C70"/>
    <w:rsid w:val="001B652A"/>
    <w:rsid w:val="001B658A"/>
    <w:rsid w:val="001C27D6"/>
    <w:rsid w:val="001C7EF2"/>
    <w:rsid w:val="001D1FD8"/>
    <w:rsid w:val="001D5765"/>
    <w:rsid w:val="001E1A49"/>
    <w:rsid w:val="001E272A"/>
    <w:rsid w:val="001E2E7F"/>
    <w:rsid w:val="001E39FE"/>
    <w:rsid w:val="001E6B5A"/>
    <w:rsid w:val="001F2653"/>
    <w:rsid w:val="001F2993"/>
    <w:rsid w:val="001F426D"/>
    <w:rsid w:val="001F7F74"/>
    <w:rsid w:val="00201321"/>
    <w:rsid w:val="00202373"/>
    <w:rsid w:val="002044B6"/>
    <w:rsid w:val="00210A63"/>
    <w:rsid w:val="002120F9"/>
    <w:rsid w:val="00212759"/>
    <w:rsid w:val="002175A6"/>
    <w:rsid w:val="00221210"/>
    <w:rsid w:val="00222AA8"/>
    <w:rsid w:val="00223319"/>
    <w:rsid w:val="00225104"/>
    <w:rsid w:val="002259AC"/>
    <w:rsid w:val="00236118"/>
    <w:rsid w:val="0023737A"/>
    <w:rsid w:val="00237B82"/>
    <w:rsid w:val="00241C94"/>
    <w:rsid w:val="00242DB9"/>
    <w:rsid w:val="00246843"/>
    <w:rsid w:val="00264220"/>
    <w:rsid w:val="002656EB"/>
    <w:rsid w:val="00265E1C"/>
    <w:rsid w:val="00267205"/>
    <w:rsid w:val="00270FF7"/>
    <w:rsid w:val="00272C5B"/>
    <w:rsid w:val="0027457C"/>
    <w:rsid w:val="00274AC0"/>
    <w:rsid w:val="00280597"/>
    <w:rsid w:val="00280983"/>
    <w:rsid w:val="0028467C"/>
    <w:rsid w:val="00285FCA"/>
    <w:rsid w:val="002866E4"/>
    <w:rsid w:val="00286BA3"/>
    <w:rsid w:val="002904B6"/>
    <w:rsid w:val="0029337E"/>
    <w:rsid w:val="002A12EB"/>
    <w:rsid w:val="002A1F0B"/>
    <w:rsid w:val="002A70F1"/>
    <w:rsid w:val="002B36C1"/>
    <w:rsid w:val="002B381A"/>
    <w:rsid w:val="002B5D62"/>
    <w:rsid w:val="002B75F1"/>
    <w:rsid w:val="002C256B"/>
    <w:rsid w:val="002C2F2F"/>
    <w:rsid w:val="002C58D5"/>
    <w:rsid w:val="002D0E5D"/>
    <w:rsid w:val="002D3BF1"/>
    <w:rsid w:val="002D6ACF"/>
    <w:rsid w:val="002E048A"/>
    <w:rsid w:val="002E5B67"/>
    <w:rsid w:val="002E6350"/>
    <w:rsid w:val="002F2EEE"/>
    <w:rsid w:val="002F3D43"/>
    <w:rsid w:val="002F5D73"/>
    <w:rsid w:val="003007F9"/>
    <w:rsid w:val="00300E65"/>
    <w:rsid w:val="003028BC"/>
    <w:rsid w:val="00302C82"/>
    <w:rsid w:val="0030731C"/>
    <w:rsid w:val="00322D5D"/>
    <w:rsid w:val="003242EA"/>
    <w:rsid w:val="00335FE8"/>
    <w:rsid w:val="00336DEB"/>
    <w:rsid w:val="0034708F"/>
    <w:rsid w:val="0034757E"/>
    <w:rsid w:val="00351325"/>
    <w:rsid w:val="00351547"/>
    <w:rsid w:val="00352995"/>
    <w:rsid w:val="003554FC"/>
    <w:rsid w:val="00356F20"/>
    <w:rsid w:val="003637DD"/>
    <w:rsid w:val="00363E2B"/>
    <w:rsid w:val="003704D3"/>
    <w:rsid w:val="00370BF1"/>
    <w:rsid w:val="00374F3F"/>
    <w:rsid w:val="0038060C"/>
    <w:rsid w:val="00381865"/>
    <w:rsid w:val="00383065"/>
    <w:rsid w:val="00383B83"/>
    <w:rsid w:val="0039289E"/>
    <w:rsid w:val="00392917"/>
    <w:rsid w:val="00393648"/>
    <w:rsid w:val="0039451F"/>
    <w:rsid w:val="003968A2"/>
    <w:rsid w:val="0039755F"/>
    <w:rsid w:val="003A13B8"/>
    <w:rsid w:val="003A160D"/>
    <w:rsid w:val="003A1CA1"/>
    <w:rsid w:val="003A2C40"/>
    <w:rsid w:val="003A4ABE"/>
    <w:rsid w:val="003A5A0D"/>
    <w:rsid w:val="003A7934"/>
    <w:rsid w:val="003B7363"/>
    <w:rsid w:val="003B7903"/>
    <w:rsid w:val="003C2701"/>
    <w:rsid w:val="003C4166"/>
    <w:rsid w:val="003D512D"/>
    <w:rsid w:val="003D636E"/>
    <w:rsid w:val="003D6663"/>
    <w:rsid w:val="003E173C"/>
    <w:rsid w:val="003E1FAD"/>
    <w:rsid w:val="003E3796"/>
    <w:rsid w:val="003E58DC"/>
    <w:rsid w:val="003F0FC0"/>
    <w:rsid w:val="003F678D"/>
    <w:rsid w:val="003F681E"/>
    <w:rsid w:val="004000FE"/>
    <w:rsid w:val="00401DAC"/>
    <w:rsid w:val="0040239E"/>
    <w:rsid w:val="004058E9"/>
    <w:rsid w:val="00405C2C"/>
    <w:rsid w:val="004060DF"/>
    <w:rsid w:val="004101A2"/>
    <w:rsid w:val="00410C28"/>
    <w:rsid w:val="0041158D"/>
    <w:rsid w:val="00412385"/>
    <w:rsid w:val="0041342F"/>
    <w:rsid w:val="004174F0"/>
    <w:rsid w:val="00421A69"/>
    <w:rsid w:val="004225AD"/>
    <w:rsid w:val="00422961"/>
    <w:rsid w:val="0042549B"/>
    <w:rsid w:val="00425772"/>
    <w:rsid w:val="00425D40"/>
    <w:rsid w:val="00426082"/>
    <w:rsid w:val="00426F18"/>
    <w:rsid w:val="004270F6"/>
    <w:rsid w:val="0043497E"/>
    <w:rsid w:val="00436181"/>
    <w:rsid w:val="004375D4"/>
    <w:rsid w:val="004425F4"/>
    <w:rsid w:val="004426E2"/>
    <w:rsid w:val="00446915"/>
    <w:rsid w:val="0044718F"/>
    <w:rsid w:val="004620B5"/>
    <w:rsid w:val="0046514B"/>
    <w:rsid w:val="0046633F"/>
    <w:rsid w:val="004667A6"/>
    <w:rsid w:val="00466DBE"/>
    <w:rsid w:val="00471C6A"/>
    <w:rsid w:val="00473215"/>
    <w:rsid w:val="00474F04"/>
    <w:rsid w:val="00476CEE"/>
    <w:rsid w:val="004829FD"/>
    <w:rsid w:val="0048337C"/>
    <w:rsid w:val="004847C7"/>
    <w:rsid w:val="00490188"/>
    <w:rsid w:val="004931E4"/>
    <w:rsid w:val="004A096E"/>
    <w:rsid w:val="004A0F11"/>
    <w:rsid w:val="004A2EA5"/>
    <w:rsid w:val="004A34FF"/>
    <w:rsid w:val="004A58C7"/>
    <w:rsid w:val="004A6784"/>
    <w:rsid w:val="004A6E93"/>
    <w:rsid w:val="004B2918"/>
    <w:rsid w:val="004B31E8"/>
    <w:rsid w:val="004B3F2D"/>
    <w:rsid w:val="004B63EB"/>
    <w:rsid w:val="004C289F"/>
    <w:rsid w:val="004E1132"/>
    <w:rsid w:val="004E1D31"/>
    <w:rsid w:val="004F19E1"/>
    <w:rsid w:val="004F61EF"/>
    <w:rsid w:val="005004E5"/>
    <w:rsid w:val="00502800"/>
    <w:rsid w:val="0050310E"/>
    <w:rsid w:val="00505EDB"/>
    <w:rsid w:val="00507E71"/>
    <w:rsid w:val="00510A31"/>
    <w:rsid w:val="00510D14"/>
    <w:rsid w:val="00511057"/>
    <w:rsid w:val="00513C2D"/>
    <w:rsid w:val="00514DBC"/>
    <w:rsid w:val="00514E4A"/>
    <w:rsid w:val="00514F0E"/>
    <w:rsid w:val="00521880"/>
    <w:rsid w:val="0052195E"/>
    <w:rsid w:val="005227F7"/>
    <w:rsid w:val="005255AF"/>
    <w:rsid w:val="00525CEF"/>
    <w:rsid w:val="00531B02"/>
    <w:rsid w:val="00534159"/>
    <w:rsid w:val="005343B5"/>
    <w:rsid w:val="00534D9B"/>
    <w:rsid w:val="00541C56"/>
    <w:rsid w:val="00542127"/>
    <w:rsid w:val="00542DD6"/>
    <w:rsid w:val="005431F3"/>
    <w:rsid w:val="0054333D"/>
    <w:rsid w:val="005453ED"/>
    <w:rsid w:val="0054644B"/>
    <w:rsid w:val="005501A9"/>
    <w:rsid w:val="00551821"/>
    <w:rsid w:val="005538CE"/>
    <w:rsid w:val="00556804"/>
    <w:rsid w:val="00560215"/>
    <w:rsid w:val="00560B65"/>
    <w:rsid w:val="005616A7"/>
    <w:rsid w:val="00563433"/>
    <w:rsid w:val="00564762"/>
    <w:rsid w:val="00565B43"/>
    <w:rsid w:val="00566EC1"/>
    <w:rsid w:val="00571E2F"/>
    <w:rsid w:val="00576AF5"/>
    <w:rsid w:val="00584F3A"/>
    <w:rsid w:val="005857F4"/>
    <w:rsid w:val="00586B52"/>
    <w:rsid w:val="00590F55"/>
    <w:rsid w:val="005921FB"/>
    <w:rsid w:val="005923F5"/>
    <w:rsid w:val="00594563"/>
    <w:rsid w:val="00594EDB"/>
    <w:rsid w:val="00595368"/>
    <w:rsid w:val="005A6F38"/>
    <w:rsid w:val="005A7010"/>
    <w:rsid w:val="005A7D1E"/>
    <w:rsid w:val="005A7DBA"/>
    <w:rsid w:val="005B020A"/>
    <w:rsid w:val="005B0267"/>
    <w:rsid w:val="005B2C5B"/>
    <w:rsid w:val="005B39D1"/>
    <w:rsid w:val="005C64CF"/>
    <w:rsid w:val="005C6A06"/>
    <w:rsid w:val="005C6F8D"/>
    <w:rsid w:val="005C72B1"/>
    <w:rsid w:val="005D0D09"/>
    <w:rsid w:val="005D1024"/>
    <w:rsid w:val="005D6AA4"/>
    <w:rsid w:val="005E06F5"/>
    <w:rsid w:val="005E0A8D"/>
    <w:rsid w:val="005E15A8"/>
    <w:rsid w:val="005E4881"/>
    <w:rsid w:val="005F7144"/>
    <w:rsid w:val="00600966"/>
    <w:rsid w:val="00606F8A"/>
    <w:rsid w:val="00610300"/>
    <w:rsid w:val="006138D3"/>
    <w:rsid w:val="00621D52"/>
    <w:rsid w:val="00623F95"/>
    <w:rsid w:val="0062414E"/>
    <w:rsid w:val="00625D61"/>
    <w:rsid w:val="00625D9D"/>
    <w:rsid w:val="006303BE"/>
    <w:rsid w:val="00630E21"/>
    <w:rsid w:val="0063176E"/>
    <w:rsid w:val="00632CD1"/>
    <w:rsid w:val="00633AB8"/>
    <w:rsid w:val="006361A1"/>
    <w:rsid w:val="00640BDC"/>
    <w:rsid w:val="00640C11"/>
    <w:rsid w:val="00640E84"/>
    <w:rsid w:val="00642352"/>
    <w:rsid w:val="00642832"/>
    <w:rsid w:val="00644F41"/>
    <w:rsid w:val="00644F53"/>
    <w:rsid w:val="0065012D"/>
    <w:rsid w:val="00652045"/>
    <w:rsid w:val="00652417"/>
    <w:rsid w:val="006579BD"/>
    <w:rsid w:val="0066210B"/>
    <w:rsid w:val="006624C0"/>
    <w:rsid w:val="0066298E"/>
    <w:rsid w:val="00663BEA"/>
    <w:rsid w:val="006650A1"/>
    <w:rsid w:val="006654AF"/>
    <w:rsid w:val="0067028E"/>
    <w:rsid w:val="00677906"/>
    <w:rsid w:val="00684E07"/>
    <w:rsid w:val="0068569B"/>
    <w:rsid w:val="00686E40"/>
    <w:rsid w:val="00692F83"/>
    <w:rsid w:val="00696AA0"/>
    <w:rsid w:val="006A42CE"/>
    <w:rsid w:val="006A5A7B"/>
    <w:rsid w:val="006B1088"/>
    <w:rsid w:val="006B2A28"/>
    <w:rsid w:val="006B2C7E"/>
    <w:rsid w:val="006B3979"/>
    <w:rsid w:val="006B64CE"/>
    <w:rsid w:val="006C1000"/>
    <w:rsid w:val="006C148C"/>
    <w:rsid w:val="006C4C63"/>
    <w:rsid w:val="006C6913"/>
    <w:rsid w:val="006D18D6"/>
    <w:rsid w:val="006D33CA"/>
    <w:rsid w:val="006D34E8"/>
    <w:rsid w:val="006D37F2"/>
    <w:rsid w:val="006D4264"/>
    <w:rsid w:val="006D560A"/>
    <w:rsid w:val="006E15D7"/>
    <w:rsid w:val="006E427F"/>
    <w:rsid w:val="006E4569"/>
    <w:rsid w:val="006E5291"/>
    <w:rsid w:val="006E7ED9"/>
    <w:rsid w:val="006F10C5"/>
    <w:rsid w:val="006F1A79"/>
    <w:rsid w:val="006F1F89"/>
    <w:rsid w:val="006F2EB8"/>
    <w:rsid w:val="006F4082"/>
    <w:rsid w:val="006F5659"/>
    <w:rsid w:val="00700E3A"/>
    <w:rsid w:val="00702620"/>
    <w:rsid w:val="00703669"/>
    <w:rsid w:val="00703C63"/>
    <w:rsid w:val="007041F0"/>
    <w:rsid w:val="00706F82"/>
    <w:rsid w:val="00707583"/>
    <w:rsid w:val="00707592"/>
    <w:rsid w:val="00711965"/>
    <w:rsid w:val="00712E6F"/>
    <w:rsid w:val="007152F3"/>
    <w:rsid w:val="00715997"/>
    <w:rsid w:val="0071708A"/>
    <w:rsid w:val="00723B72"/>
    <w:rsid w:val="007279C9"/>
    <w:rsid w:val="00730425"/>
    <w:rsid w:val="007314FE"/>
    <w:rsid w:val="00735548"/>
    <w:rsid w:val="00735A11"/>
    <w:rsid w:val="0073713B"/>
    <w:rsid w:val="00737301"/>
    <w:rsid w:val="0073736A"/>
    <w:rsid w:val="0074406B"/>
    <w:rsid w:val="00747569"/>
    <w:rsid w:val="00751AD4"/>
    <w:rsid w:val="00753426"/>
    <w:rsid w:val="00755505"/>
    <w:rsid w:val="0075648D"/>
    <w:rsid w:val="007616E3"/>
    <w:rsid w:val="007619B4"/>
    <w:rsid w:val="00761F4F"/>
    <w:rsid w:val="007662CD"/>
    <w:rsid w:val="0076769A"/>
    <w:rsid w:val="00775E13"/>
    <w:rsid w:val="00777271"/>
    <w:rsid w:val="00777DF3"/>
    <w:rsid w:val="00782F2A"/>
    <w:rsid w:val="00785E01"/>
    <w:rsid w:val="00785F3A"/>
    <w:rsid w:val="00792A2A"/>
    <w:rsid w:val="00793A2B"/>
    <w:rsid w:val="007971C6"/>
    <w:rsid w:val="007977B2"/>
    <w:rsid w:val="00797E47"/>
    <w:rsid w:val="007A0B36"/>
    <w:rsid w:val="007A103C"/>
    <w:rsid w:val="007A142B"/>
    <w:rsid w:val="007A1D77"/>
    <w:rsid w:val="007A4B80"/>
    <w:rsid w:val="007A4BE1"/>
    <w:rsid w:val="007A56CF"/>
    <w:rsid w:val="007A7302"/>
    <w:rsid w:val="007B06FD"/>
    <w:rsid w:val="007B1C44"/>
    <w:rsid w:val="007B5009"/>
    <w:rsid w:val="007B5C58"/>
    <w:rsid w:val="007B6C50"/>
    <w:rsid w:val="007B7D3C"/>
    <w:rsid w:val="007C46BE"/>
    <w:rsid w:val="007C51E5"/>
    <w:rsid w:val="007C5B55"/>
    <w:rsid w:val="007C618D"/>
    <w:rsid w:val="007D7A85"/>
    <w:rsid w:val="007E265D"/>
    <w:rsid w:val="007E388F"/>
    <w:rsid w:val="007E4CB8"/>
    <w:rsid w:val="007E6C48"/>
    <w:rsid w:val="007E7D52"/>
    <w:rsid w:val="007F33A2"/>
    <w:rsid w:val="007F3DAD"/>
    <w:rsid w:val="007F6953"/>
    <w:rsid w:val="007F6FF8"/>
    <w:rsid w:val="008006B0"/>
    <w:rsid w:val="00804692"/>
    <w:rsid w:val="00805F21"/>
    <w:rsid w:val="0080614F"/>
    <w:rsid w:val="00806245"/>
    <w:rsid w:val="008114B6"/>
    <w:rsid w:val="00813BEC"/>
    <w:rsid w:val="008158FA"/>
    <w:rsid w:val="00821C02"/>
    <w:rsid w:val="0082676C"/>
    <w:rsid w:val="008300F6"/>
    <w:rsid w:val="00835136"/>
    <w:rsid w:val="00835F22"/>
    <w:rsid w:val="008373B9"/>
    <w:rsid w:val="00841B2B"/>
    <w:rsid w:val="00841D07"/>
    <w:rsid w:val="00842D7C"/>
    <w:rsid w:val="00846239"/>
    <w:rsid w:val="0084629D"/>
    <w:rsid w:val="00846B59"/>
    <w:rsid w:val="00850164"/>
    <w:rsid w:val="008520A3"/>
    <w:rsid w:val="00856A21"/>
    <w:rsid w:val="008615FE"/>
    <w:rsid w:val="00863275"/>
    <w:rsid w:val="008662C8"/>
    <w:rsid w:val="00866944"/>
    <w:rsid w:val="008703F7"/>
    <w:rsid w:val="00872501"/>
    <w:rsid w:val="0087273A"/>
    <w:rsid w:val="00881D13"/>
    <w:rsid w:val="00883C80"/>
    <w:rsid w:val="008858C9"/>
    <w:rsid w:val="00885CBA"/>
    <w:rsid w:val="008868A3"/>
    <w:rsid w:val="008908A7"/>
    <w:rsid w:val="0089133E"/>
    <w:rsid w:val="00892E4B"/>
    <w:rsid w:val="00894AF9"/>
    <w:rsid w:val="00896586"/>
    <w:rsid w:val="00896E80"/>
    <w:rsid w:val="008B2F96"/>
    <w:rsid w:val="008B3337"/>
    <w:rsid w:val="008B44D3"/>
    <w:rsid w:val="008B4E4F"/>
    <w:rsid w:val="008C19DF"/>
    <w:rsid w:val="008C6098"/>
    <w:rsid w:val="008D1682"/>
    <w:rsid w:val="008D34E9"/>
    <w:rsid w:val="008D41F6"/>
    <w:rsid w:val="008D5057"/>
    <w:rsid w:val="008D608D"/>
    <w:rsid w:val="008D6218"/>
    <w:rsid w:val="008E1394"/>
    <w:rsid w:val="008F4828"/>
    <w:rsid w:val="008F619C"/>
    <w:rsid w:val="008F7031"/>
    <w:rsid w:val="00900543"/>
    <w:rsid w:val="009072A6"/>
    <w:rsid w:val="009073BC"/>
    <w:rsid w:val="00910255"/>
    <w:rsid w:val="00913F56"/>
    <w:rsid w:val="0092102E"/>
    <w:rsid w:val="009210C6"/>
    <w:rsid w:val="0092124C"/>
    <w:rsid w:val="00921256"/>
    <w:rsid w:val="00921668"/>
    <w:rsid w:val="00923BF8"/>
    <w:rsid w:val="00923C48"/>
    <w:rsid w:val="0092575D"/>
    <w:rsid w:val="00927D32"/>
    <w:rsid w:val="00930382"/>
    <w:rsid w:val="00946296"/>
    <w:rsid w:val="009471D0"/>
    <w:rsid w:val="00950EDF"/>
    <w:rsid w:val="0095111D"/>
    <w:rsid w:val="00960571"/>
    <w:rsid w:val="009620C3"/>
    <w:rsid w:val="0096243E"/>
    <w:rsid w:val="009638CC"/>
    <w:rsid w:val="009727E2"/>
    <w:rsid w:val="00972DAD"/>
    <w:rsid w:val="009755CC"/>
    <w:rsid w:val="00977C6D"/>
    <w:rsid w:val="00977ECC"/>
    <w:rsid w:val="009804FE"/>
    <w:rsid w:val="00983B18"/>
    <w:rsid w:val="00986BF1"/>
    <w:rsid w:val="009871D1"/>
    <w:rsid w:val="00997E59"/>
    <w:rsid w:val="009A06E9"/>
    <w:rsid w:val="009A1FD5"/>
    <w:rsid w:val="009A3243"/>
    <w:rsid w:val="009A5FD5"/>
    <w:rsid w:val="009B2408"/>
    <w:rsid w:val="009B3150"/>
    <w:rsid w:val="009B4590"/>
    <w:rsid w:val="009D02DD"/>
    <w:rsid w:val="009D2EDB"/>
    <w:rsid w:val="009D3674"/>
    <w:rsid w:val="009D6780"/>
    <w:rsid w:val="009D6B5D"/>
    <w:rsid w:val="009E1AA1"/>
    <w:rsid w:val="009E2C16"/>
    <w:rsid w:val="009E414B"/>
    <w:rsid w:val="009F003C"/>
    <w:rsid w:val="009F2CE9"/>
    <w:rsid w:val="009F6221"/>
    <w:rsid w:val="00A02208"/>
    <w:rsid w:val="00A047EB"/>
    <w:rsid w:val="00A04ACC"/>
    <w:rsid w:val="00A1086C"/>
    <w:rsid w:val="00A16F67"/>
    <w:rsid w:val="00A172F3"/>
    <w:rsid w:val="00A20440"/>
    <w:rsid w:val="00A20476"/>
    <w:rsid w:val="00A24680"/>
    <w:rsid w:val="00A26249"/>
    <w:rsid w:val="00A3361C"/>
    <w:rsid w:val="00A33A54"/>
    <w:rsid w:val="00A340AB"/>
    <w:rsid w:val="00A41A81"/>
    <w:rsid w:val="00A47B74"/>
    <w:rsid w:val="00A52DE3"/>
    <w:rsid w:val="00A6410A"/>
    <w:rsid w:val="00A643F5"/>
    <w:rsid w:val="00A73A0F"/>
    <w:rsid w:val="00A81572"/>
    <w:rsid w:val="00A8339B"/>
    <w:rsid w:val="00A96C46"/>
    <w:rsid w:val="00AA4621"/>
    <w:rsid w:val="00AB3705"/>
    <w:rsid w:val="00AB3FD6"/>
    <w:rsid w:val="00AB56A5"/>
    <w:rsid w:val="00AB7407"/>
    <w:rsid w:val="00AC299E"/>
    <w:rsid w:val="00AC29B4"/>
    <w:rsid w:val="00AC3504"/>
    <w:rsid w:val="00AD32F1"/>
    <w:rsid w:val="00AD44B0"/>
    <w:rsid w:val="00AF02A5"/>
    <w:rsid w:val="00AF1C7D"/>
    <w:rsid w:val="00AF25D9"/>
    <w:rsid w:val="00AF31A1"/>
    <w:rsid w:val="00AF5BFE"/>
    <w:rsid w:val="00B10EF6"/>
    <w:rsid w:val="00B130CE"/>
    <w:rsid w:val="00B2060F"/>
    <w:rsid w:val="00B20613"/>
    <w:rsid w:val="00B22806"/>
    <w:rsid w:val="00B2615F"/>
    <w:rsid w:val="00B26CBC"/>
    <w:rsid w:val="00B33765"/>
    <w:rsid w:val="00B35418"/>
    <w:rsid w:val="00B35A68"/>
    <w:rsid w:val="00B37397"/>
    <w:rsid w:val="00B412C4"/>
    <w:rsid w:val="00B41DDC"/>
    <w:rsid w:val="00B44A5A"/>
    <w:rsid w:val="00B4543E"/>
    <w:rsid w:val="00B50AC4"/>
    <w:rsid w:val="00B51966"/>
    <w:rsid w:val="00B523A0"/>
    <w:rsid w:val="00B60DFF"/>
    <w:rsid w:val="00B616AC"/>
    <w:rsid w:val="00B6224A"/>
    <w:rsid w:val="00B62691"/>
    <w:rsid w:val="00B63F71"/>
    <w:rsid w:val="00B64F4E"/>
    <w:rsid w:val="00B71A87"/>
    <w:rsid w:val="00B74979"/>
    <w:rsid w:val="00B75BEB"/>
    <w:rsid w:val="00B82BF5"/>
    <w:rsid w:val="00B82C3E"/>
    <w:rsid w:val="00B931B4"/>
    <w:rsid w:val="00B97272"/>
    <w:rsid w:val="00B9741C"/>
    <w:rsid w:val="00BB0119"/>
    <w:rsid w:val="00BB020B"/>
    <w:rsid w:val="00BB17F5"/>
    <w:rsid w:val="00BB263A"/>
    <w:rsid w:val="00BB35FC"/>
    <w:rsid w:val="00BB39EC"/>
    <w:rsid w:val="00BB54C0"/>
    <w:rsid w:val="00BB5AED"/>
    <w:rsid w:val="00BB6777"/>
    <w:rsid w:val="00BC3058"/>
    <w:rsid w:val="00BC3B24"/>
    <w:rsid w:val="00BC4DD4"/>
    <w:rsid w:val="00BC5400"/>
    <w:rsid w:val="00BC6388"/>
    <w:rsid w:val="00BC7AE8"/>
    <w:rsid w:val="00BD0884"/>
    <w:rsid w:val="00BD140E"/>
    <w:rsid w:val="00BD2013"/>
    <w:rsid w:val="00BE0174"/>
    <w:rsid w:val="00BE20B6"/>
    <w:rsid w:val="00BE301F"/>
    <w:rsid w:val="00BE32C5"/>
    <w:rsid w:val="00BE3A21"/>
    <w:rsid w:val="00BF0866"/>
    <w:rsid w:val="00C005C1"/>
    <w:rsid w:val="00C01FEB"/>
    <w:rsid w:val="00C033A5"/>
    <w:rsid w:val="00C06104"/>
    <w:rsid w:val="00C070B1"/>
    <w:rsid w:val="00C20EB8"/>
    <w:rsid w:val="00C21782"/>
    <w:rsid w:val="00C232F2"/>
    <w:rsid w:val="00C23B40"/>
    <w:rsid w:val="00C26647"/>
    <w:rsid w:val="00C32165"/>
    <w:rsid w:val="00C346A5"/>
    <w:rsid w:val="00C40D58"/>
    <w:rsid w:val="00C432AD"/>
    <w:rsid w:val="00C4368E"/>
    <w:rsid w:val="00C46849"/>
    <w:rsid w:val="00C47774"/>
    <w:rsid w:val="00C5730A"/>
    <w:rsid w:val="00C658C0"/>
    <w:rsid w:val="00C6734D"/>
    <w:rsid w:val="00C7042C"/>
    <w:rsid w:val="00C73632"/>
    <w:rsid w:val="00C77041"/>
    <w:rsid w:val="00C77783"/>
    <w:rsid w:val="00C77EEC"/>
    <w:rsid w:val="00C835CE"/>
    <w:rsid w:val="00C83D47"/>
    <w:rsid w:val="00C85512"/>
    <w:rsid w:val="00C8649F"/>
    <w:rsid w:val="00C976C5"/>
    <w:rsid w:val="00CA3905"/>
    <w:rsid w:val="00CA4072"/>
    <w:rsid w:val="00CA55DE"/>
    <w:rsid w:val="00CA6683"/>
    <w:rsid w:val="00CB0F43"/>
    <w:rsid w:val="00CB0F8B"/>
    <w:rsid w:val="00CB57F7"/>
    <w:rsid w:val="00CC20CA"/>
    <w:rsid w:val="00CC2D5A"/>
    <w:rsid w:val="00CC4032"/>
    <w:rsid w:val="00CD4153"/>
    <w:rsid w:val="00CD673F"/>
    <w:rsid w:val="00CE3495"/>
    <w:rsid w:val="00CF2BB3"/>
    <w:rsid w:val="00CF332C"/>
    <w:rsid w:val="00D025C1"/>
    <w:rsid w:val="00D04932"/>
    <w:rsid w:val="00D103F4"/>
    <w:rsid w:val="00D10B1D"/>
    <w:rsid w:val="00D1217B"/>
    <w:rsid w:val="00D127AF"/>
    <w:rsid w:val="00D16D8D"/>
    <w:rsid w:val="00D210C2"/>
    <w:rsid w:val="00D21BC8"/>
    <w:rsid w:val="00D32423"/>
    <w:rsid w:val="00D34765"/>
    <w:rsid w:val="00D34A1A"/>
    <w:rsid w:val="00D373B9"/>
    <w:rsid w:val="00D43900"/>
    <w:rsid w:val="00D44659"/>
    <w:rsid w:val="00D505B7"/>
    <w:rsid w:val="00D55EB1"/>
    <w:rsid w:val="00D612D9"/>
    <w:rsid w:val="00D61FB6"/>
    <w:rsid w:val="00D6278D"/>
    <w:rsid w:val="00D6473E"/>
    <w:rsid w:val="00D73C7F"/>
    <w:rsid w:val="00D75745"/>
    <w:rsid w:val="00D81568"/>
    <w:rsid w:val="00D8401A"/>
    <w:rsid w:val="00D84FB4"/>
    <w:rsid w:val="00D872D3"/>
    <w:rsid w:val="00D9546D"/>
    <w:rsid w:val="00D96552"/>
    <w:rsid w:val="00DA4512"/>
    <w:rsid w:val="00DA65D2"/>
    <w:rsid w:val="00DA7445"/>
    <w:rsid w:val="00DA75A2"/>
    <w:rsid w:val="00DB4326"/>
    <w:rsid w:val="00DB56F8"/>
    <w:rsid w:val="00DC045D"/>
    <w:rsid w:val="00DC2D4D"/>
    <w:rsid w:val="00DC3D3A"/>
    <w:rsid w:val="00DC4571"/>
    <w:rsid w:val="00DD184E"/>
    <w:rsid w:val="00DD774A"/>
    <w:rsid w:val="00DE05E0"/>
    <w:rsid w:val="00DE1691"/>
    <w:rsid w:val="00DE17D0"/>
    <w:rsid w:val="00DE28F0"/>
    <w:rsid w:val="00DE43C1"/>
    <w:rsid w:val="00DE57A7"/>
    <w:rsid w:val="00DF08B5"/>
    <w:rsid w:val="00DF2A59"/>
    <w:rsid w:val="00DF43D2"/>
    <w:rsid w:val="00DF4631"/>
    <w:rsid w:val="00DF5063"/>
    <w:rsid w:val="00E053A7"/>
    <w:rsid w:val="00E1020C"/>
    <w:rsid w:val="00E13083"/>
    <w:rsid w:val="00E1397E"/>
    <w:rsid w:val="00E14092"/>
    <w:rsid w:val="00E1485E"/>
    <w:rsid w:val="00E14CDF"/>
    <w:rsid w:val="00E151A4"/>
    <w:rsid w:val="00E17FEA"/>
    <w:rsid w:val="00E2243F"/>
    <w:rsid w:val="00E22D44"/>
    <w:rsid w:val="00E22E3F"/>
    <w:rsid w:val="00E237B3"/>
    <w:rsid w:val="00E30713"/>
    <w:rsid w:val="00E31A7C"/>
    <w:rsid w:val="00E3311F"/>
    <w:rsid w:val="00E35C32"/>
    <w:rsid w:val="00E423EB"/>
    <w:rsid w:val="00E450B1"/>
    <w:rsid w:val="00E47106"/>
    <w:rsid w:val="00E4760D"/>
    <w:rsid w:val="00E51723"/>
    <w:rsid w:val="00E61575"/>
    <w:rsid w:val="00E6734B"/>
    <w:rsid w:val="00E7027A"/>
    <w:rsid w:val="00E708C3"/>
    <w:rsid w:val="00E70DDF"/>
    <w:rsid w:val="00E80B35"/>
    <w:rsid w:val="00E8319F"/>
    <w:rsid w:val="00E85EAC"/>
    <w:rsid w:val="00E906DE"/>
    <w:rsid w:val="00E96A7E"/>
    <w:rsid w:val="00EA107B"/>
    <w:rsid w:val="00EA140A"/>
    <w:rsid w:val="00EA4426"/>
    <w:rsid w:val="00EA7015"/>
    <w:rsid w:val="00EA797D"/>
    <w:rsid w:val="00EB162A"/>
    <w:rsid w:val="00EB2AD3"/>
    <w:rsid w:val="00EB2DAB"/>
    <w:rsid w:val="00EB44CC"/>
    <w:rsid w:val="00EB4D9A"/>
    <w:rsid w:val="00EB5044"/>
    <w:rsid w:val="00EB5901"/>
    <w:rsid w:val="00EC06F5"/>
    <w:rsid w:val="00EC1BB7"/>
    <w:rsid w:val="00ED0C4C"/>
    <w:rsid w:val="00ED1B5B"/>
    <w:rsid w:val="00ED2587"/>
    <w:rsid w:val="00ED44BF"/>
    <w:rsid w:val="00ED5709"/>
    <w:rsid w:val="00ED662F"/>
    <w:rsid w:val="00ED74AA"/>
    <w:rsid w:val="00ED7982"/>
    <w:rsid w:val="00EE451E"/>
    <w:rsid w:val="00EE61EA"/>
    <w:rsid w:val="00EF06B3"/>
    <w:rsid w:val="00EF1132"/>
    <w:rsid w:val="00EF4FD0"/>
    <w:rsid w:val="00EF7EE2"/>
    <w:rsid w:val="00F004D9"/>
    <w:rsid w:val="00F02E85"/>
    <w:rsid w:val="00F04F72"/>
    <w:rsid w:val="00F07AE6"/>
    <w:rsid w:val="00F11EF3"/>
    <w:rsid w:val="00F1255B"/>
    <w:rsid w:val="00F129E5"/>
    <w:rsid w:val="00F131F4"/>
    <w:rsid w:val="00F13B0C"/>
    <w:rsid w:val="00F15089"/>
    <w:rsid w:val="00F25AAD"/>
    <w:rsid w:val="00F2692B"/>
    <w:rsid w:val="00F3315D"/>
    <w:rsid w:val="00F33372"/>
    <w:rsid w:val="00F411B5"/>
    <w:rsid w:val="00F45CC3"/>
    <w:rsid w:val="00F50C3C"/>
    <w:rsid w:val="00F5243A"/>
    <w:rsid w:val="00F53518"/>
    <w:rsid w:val="00F5374A"/>
    <w:rsid w:val="00F57FE9"/>
    <w:rsid w:val="00F6122D"/>
    <w:rsid w:val="00F70D5C"/>
    <w:rsid w:val="00F70E1B"/>
    <w:rsid w:val="00F73870"/>
    <w:rsid w:val="00F747E2"/>
    <w:rsid w:val="00F74FA5"/>
    <w:rsid w:val="00F77CCA"/>
    <w:rsid w:val="00F8100A"/>
    <w:rsid w:val="00F815CB"/>
    <w:rsid w:val="00F82776"/>
    <w:rsid w:val="00F925DA"/>
    <w:rsid w:val="00F94934"/>
    <w:rsid w:val="00F951F1"/>
    <w:rsid w:val="00F96715"/>
    <w:rsid w:val="00F97F2D"/>
    <w:rsid w:val="00FA1824"/>
    <w:rsid w:val="00FA31B7"/>
    <w:rsid w:val="00FA4C5B"/>
    <w:rsid w:val="00FB1777"/>
    <w:rsid w:val="00FC0BDF"/>
    <w:rsid w:val="00FC5A4C"/>
    <w:rsid w:val="00FC5B07"/>
    <w:rsid w:val="00FD2002"/>
    <w:rsid w:val="00FD2E84"/>
    <w:rsid w:val="00FD3CDE"/>
    <w:rsid w:val="00FE0A05"/>
    <w:rsid w:val="00FE1F63"/>
    <w:rsid w:val="00FE4847"/>
    <w:rsid w:val="018674B1"/>
    <w:rsid w:val="021B2192"/>
    <w:rsid w:val="03166C31"/>
    <w:rsid w:val="035249BF"/>
    <w:rsid w:val="05054115"/>
    <w:rsid w:val="052FBEBC"/>
    <w:rsid w:val="05DEDB93"/>
    <w:rsid w:val="063DC5DD"/>
    <w:rsid w:val="064DBAFA"/>
    <w:rsid w:val="074B87D5"/>
    <w:rsid w:val="08B9FE84"/>
    <w:rsid w:val="09F06D3D"/>
    <w:rsid w:val="0B417965"/>
    <w:rsid w:val="0B42F371"/>
    <w:rsid w:val="0ECF0408"/>
    <w:rsid w:val="0F67F8C5"/>
    <w:rsid w:val="1040CBCD"/>
    <w:rsid w:val="11586CB6"/>
    <w:rsid w:val="1189CB8B"/>
    <w:rsid w:val="148718CB"/>
    <w:rsid w:val="18AE9DA0"/>
    <w:rsid w:val="1AF68C5A"/>
    <w:rsid w:val="1F8AC280"/>
    <w:rsid w:val="206B383D"/>
    <w:rsid w:val="20C25BE0"/>
    <w:rsid w:val="21264B15"/>
    <w:rsid w:val="244F88EB"/>
    <w:rsid w:val="249BC074"/>
    <w:rsid w:val="2508A5F4"/>
    <w:rsid w:val="264E6CAC"/>
    <w:rsid w:val="267B3EEE"/>
    <w:rsid w:val="2750C005"/>
    <w:rsid w:val="282BA6B9"/>
    <w:rsid w:val="2A14292A"/>
    <w:rsid w:val="2A387B3A"/>
    <w:rsid w:val="2AA42869"/>
    <w:rsid w:val="2AE2F5C8"/>
    <w:rsid w:val="2B11E449"/>
    <w:rsid w:val="2C0FBEFC"/>
    <w:rsid w:val="2E8F8250"/>
    <w:rsid w:val="2EB157AD"/>
    <w:rsid w:val="2EC7FEC7"/>
    <w:rsid w:val="30F69C6F"/>
    <w:rsid w:val="327F611D"/>
    <w:rsid w:val="328DDDB5"/>
    <w:rsid w:val="34110ED7"/>
    <w:rsid w:val="3461CFF8"/>
    <w:rsid w:val="34DC012B"/>
    <w:rsid w:val="35C6A94A"/>
    <w:rsid w:val="389D80B7"/>
    <w:rsid w:val="3A21ABF9"/>
    <w:rsid w:val="3D1D5542"/>
    <w:rsid w:val="3DEF9E9E"/>
    <w:rsid w:val="3E37849C"/>
    <w:rsid w:val="429A5161"/>
    <w:rsid w:val="46A282D9"/>
    <w:rsid w:val="470C0550"/>
    <w:rsid w:val="47E4F845"/>
    <w:rsid w:val="4C1D01E9"/>
    <w:rsid w:val="4C2CA463"/>
    <w:rsid w:val="4E47F92B"/>
    <w:rsid w:val="4E702E54"/>
    <w:rsid w:val="51414A70"/>
    <w:rsid w:val="52118B75"/>
    <w:rsid w:val="525F1B3E"/>
    <w:rsid w:val="543B05FA"/>
    <w:rsid w:val="5556F551"/>
    <w:rsid w:val="58229396"/>
    <w:rsid w:val="5824A371"/>
    <w:rsid w:val="5A42B986"/>
    <w:rsid w:val="5BBAD1A8"/>
    <w:rsid w:val="5C3927D6"/>
    <w:rsid w:val="5EE855AB"/>
    <w:rsid w:val="625134D5"/>
    <w:rsid w:val="62F72F23"/>
    <w:rsid w:val="6438B8C3"/>
    <w:rsid w:val="64790F33"/>
    <w:rsid w:val="64D78586"/>
    <w:rsid w:val="667006C7"/>
    <w:rsid w:val="680C90D9"/>
    <w:rsid w:val="68BC0531"/>
    <w:rsid w:val="6B0E044D"/>
    <w:rsid w:val="6DE0145B"/>
    <w:rsid w:val="6EA03E6B"/>
    <w:rsid w:val="708483A4"/>
    <w:rsid w:val="72CADF47"/>
    <w:rsid w:val="743F7529"/>
    <w:rsid w:val="76174FCA"/>
    <w:rsid w:val="76238C0C"/>
    <w:rsid w:val="76AF55D6"/>
    <w:rsid w:val="78F3B98A"/>
    <w:rsid w:val="7C08442F"/>
    <w:rsid w:val="7CED5020"/>
    <w:rsid w:val="7DDA384F"/>
    <w:rsid w:val="7F6D4407"/>
    <w:rsid w:val="7F84C904"/>
    <w:rsid w:val="7FFD03A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F15AF"/>
  <w15:chartTrackingRefBased/>
  <w15:docId w15:val="{0525F826-EDB3-4357-A3B4-E186B60E0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7619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7619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7619B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7619B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7619B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7619B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619B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619B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619B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619B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7619B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7619B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7619B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7619B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7619B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619B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619B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619B4"/>
    <w:rPr>
      <w:rFonts w:eastAsiaTheme="majorEastAsia" w:cstheme="majorBidi"/>
      <w:color w:val="272727" w:themeColor="text1" w:themeTint="D8"/>
    </w:rPr>
  </w:style>
  <w:style w:type="paragraph" w:styleId="Titolo">
    <w:name w:val="Title"/>
    <w:basedOn w:val="Normale"/>
    <w:next w:val="Normale"/>
    <w:link w:val="TitoloCarattere"/>
    <w:uiPriority w:val="10"/>
    <w:qFormat/>
    <w:rsid w:val="007619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619B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619B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619B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619B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619B4"/>
    <w:rPr>
      <w:i/>
      <w:iCs/>
      <w:color w:val="404040" w:themeColor="text1" w:themeTint="BF"/>
    </w:rPr>
  </w:style>
  <w:style w:type="paragraph" w:styleId="Paragrafoelenco">
    <w:name w:val="List Paragraph"/>
    <w:basedOn w:val="Normale"/>
    <w:uiPriority w:val="34"/>
    <w:qFormat/>
    <w:rsid w:val="007619B4"/>
    <w:pPr>
      <w:ind w:left="720"/>
      <w:contextualSpacing/>
    </w:pPr>
  </w:style>
  <w:style w:type="character" w:styleId="Enfasiintensa">
    <w:name w:val="Intense Emphasis"/>
    <w:basedOn w:val="Carpredefinitoparagrafo"/>
    <w:uiPriority w:val="21"/>
    <w:qFormat/>
    <w:rsid w:val="007619B4"/>
    <w:rPr>
      <w:i/>
      <w:iCs/>
      <w:color w:val="0F4761" w:themeColor="accent1" w:themeShade="BF"/>
    </w:rPr>
  </w:style>
  <w:style w:type="paragraph" w:styleId="Citazioneintensa">
    <w:name w:val="Intense Quote"/>
    <w:basedOn w:val="Normale"/>
    <w:next w:val="Normale"/>
    <w:link w:val="CitazioneintensaCarattere"/>
    <w:uiPriority w:val="30"/>
    <w:qFormat/>
    <w:rsid w:val="007619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7619B4"/>
    <w:rPr>
      <w:i/>
      <w:iCs/>
      <w:color w:val="0F4761" w:themeColor="accent1" w:themeShade="BF"/>
    </w:rPr>
  </w:style>
  <w:style w:type="character" w:styleId="Riferimentointenso">
    <w:name w:val="Intense Reference"/>
    <w:basedOn w:val="Carpredefinitoparagrafo"/>
    <w:uiPriority w:val="32"/>
    <w:qFormat/>
    <w:rsid w:val="007619B4"/>
    <w:rPr>
      <w:b/>
      <w:bCs/>
      <w:smallCaps/>
      <w:color w:val="0F4761" w:themeColor="accent1" w:themeShade="BF"/>
      <w:spacing w:val="5"/>
    </w:rPr>
  </w:style>
  <w:style w:type="paragraph" w:styleId="Intestazione">
    <w:name w:val="header"/>
    <w:basedOn w:val="Normale"/>
    <w:link w:val="IntestazioneCarattere"/>
    <w:uiPriority w:val="99"/>
    <w:unhideWhenUsed/>
    <w:rsid w:val="00272C5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72C5B"/>
  </w:style>
  <w:style w:type="paragraph" w:styleId="Pidipagina">
    <w:name w:val="footer"/>
    <w:basedOn w:val="Normale"/>
    <w:link w:val="PidipaginaCarattere"/>
    <w:uiPriority w:val="99"/>
    <w:unhideWhenUsed/>
    <w:rsid w:val="00272C5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72C5B"/>
  </w:style>
  <w:style w:type="paragraph" w:styleId="Revisione">
    <w:name w:val="Revision"/>
    <w:hidden/>
    <w:uiPriority w:val="99"/>
    <w:semiHidden/>
    <w:rsid w:val="003D512D"/>
    <w:pPr>
      <w:spacing w:after="0" w:line="240" w:lineRule="auto"/>
    </w:pPr>
  </w:style>
  <w:style w:type="character" w:styleId="Collegamentoipertestuale">
    <w:name w:val="Hyperlink"/>
    <w:basedOn w:val="Carpredefinitoparagrafo"/>
    <w:uiPriority w:val="99"/>
    <w:unhideWhenUsed/>
    <w:rsid w:val="005E15A8"/>
    <w:rPr>
      <w:color w:val="467886" w:themeColor="hyperlink"/>
      <w:u w:val="single"/>
    </w:rPr>
  </w:style>
  <w:style w:type="character" w:styleId="Menzionenonrisolta">
    <w:name w:val="Unresolved Mention"/>
    <w:basedOn w:val="Carpredefinitoparagrafo"/>
    <w:uiPriority w:val="99"/>
    <w:semiHidden/>
    <w:unhideWhenUsed/>
    <w:rsid w:val="005E15A8"/>
    <w:rPr>
      <w:color w:val="605E5C"/>
      <w:shd w:val="clear" w:color="auto" w:fill="E1DFDD"/>
    </w:rPr>
  </w:style>
  <w:style w:type="paragraph" w:customStyle="1" w:styleId="titolo0">
    <w:name w:val="titolo"/>
    <w:basedOn w:val="Normale"/>
    <w:rsid w:val="00A1086C"/>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Enfasigrassetto">
    <w:name w:val="Strong"/>
    <w:basedOn w:val="Carpredefinitoparagrafo"/>
    <w:uiPriority w:val="22"/>
    <w:qFormat/>
    <w:rsid w:val="00A1086C"/>
    <w:rPr>
      <w:b/>
      <w:bCs/>
    </w:rPr>
  </w:style>
  <w:style w:type="paragraph" w:customStyle="1" w:styleId="center">
    <w:name w:val="center"/>
    <w:basedOn w:val="Normale"/>
    <w:rsid w:val="00A1086C"/>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styleId="NormaleWeb">
    <w:name w:val="Normal (Web)"/>
    <w:basedOn w:val="Normale"/>
    <w:uiPriority w:val="99"/>
    <w:semiHidden/>
    <w:unhideWhenUsed/>
    <w:rsid w:val="00A1086C"/>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Enfasicorsivo">
    <w:name w:val="Emphasis"/>
    <w:basedOn w:val="Carpredefinitoparagrafo"/>
    <w:uiPriority w:val="20"/>
    <w:qFormat/>
    <w:rsid w:val="00A1086C"/>
    <w:rPr>
      <w:i/>
      <w:iCs/>
    </w:rPr>
  </w:style>
  <w:style w:type="paragraph" w:customStyle="1" w:styleId="Default">
    <w:name w:val="Default"/>
    <w:rsid w:val="000A4B11"/>
    <w:pPr>
      <w:autoSpaceDE w:val="0"/>
      <w:autoSpaceDN w:val="0"/>
      <w:adjustRightInd w:val="0"/>
      <w:spacing w:after="0" w:line="240" w:lineRule="auto"/>
    </w:pPr>
    <w:rPr>
      <w:rFonts w:ascii="Calibri" w:hAnsi="Calibri" w:cs="Calibri"/>
      <w:color w:val="000000"/>
      <w:kern w:val="0"/>
      <w:sz w:val="24"/>
      <w:szCs w:val="24"/>
    </w:rPr>
  </w:style>
  <w:style w:type="paragraph" w:styleId="Testocommento">
    <w:name w:val="annotation text"/>
    <w:basedOn w:val="Normale"/>
    <w:link w:val="TestocommentoCarattere"/>
    <w:uiPriority w:val="99"/>
    <w:semiHidden/>
    <w:unhideWhenUse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Pr>
      <w:sz w:val="20"/>
      <w:szCs w:val="20"/>
    </w:rPr>
  </w:style>
  <w:style w:type="character" w:styleId="Rimandocommento">
    <w:name w:val="annotation reference"/>
    <w:basedOn w:val="Carpredefinitoparagrafo"/>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569008">
      <w:bodyDiv w:val="1"/>
      <w:marLeft w:val="0"/>
      <w:marRight w:val="0"/>
      <w:marTop w:val="0"/>
      <w:marBottom w:val="0"/>
      <w:divBdr>
        <w:top w:val="none" w:sz="0" w:space="0" w:color="auto"/>
        <w:left w:val="none" w:sz="0" w:space="0" w:color="auto"/>
        <w:bottom w:val="none" w:sz="0" w:space="0" w:color="auto"/>
        <w:right w:val="none" w:sz="0" w:space="0" w:color="auto"/>
      </w:divBdr>
    </w:div>
    <w:div w:id="248469141">
      <w:bodyDiv w:val="1"/>
      <w:marLeft w:val="0"/>
      <w:marRight w:val="0"/>
      <w:marTop w:val="0"/>
      <w:marBottom w:val="0"/>
      <w:divBdr>
        <w:top w:val="none" w:sz="0" w:space="0" w:color="auto"/>
        <w:left w:val="none" w:sz="0" w:space="0" w:color="auto"/>
        <w:bottom w:val="none" w:sz="0" w:space="0" w:color="auto"/>
        <w:right w:val="none" w:sz="0" w:space="0" w:color="auto"/>
      </w:divBdr>
    </w:div>
    <w:div w:id="257836014">
      <w:bodyDiv w:val="1"/>
      <w:marLeft w:val="0"/>
      <w:marRight w:val="0"/>
      <w:marTop w:val="0"/>
      <w:marBottom w:val="0"/>
      <w:divBdr>
        <w:top w:val="none" w:sz="0" w:space="0" w:color="auto"/>
        <w:left w:val="none" w:sz="0" w:space="0" w:color="auto"/>
        <w:bottom w:val="none" w:sz="0" w:space="0" w:color="auto"/>
        <w:right w:val="none" w:sz="0" w:space="0" w:color="auto"/>
      </w:divBdr>
    </w:div>
    <w:div w:id="261105502">
      <w:bodyDiv w:val="1"/>
      <w:marLeft w:val="0"/>
      <w:marRight w:val="0"/>
      <w:marTop w:val="0"/>
      <w:marBottom w:val="0"/>
      <w:divBdr>
        <w:top w:val="none" w:sz="0" w:space="0" w:color="auto"/>
        <w:left w:val="none" w:sz="0" w:space="0" w:color="auto"/>
        <w:bottom w:val="none" w:sz="0" w:space="0" w:color="auto"/>
        <w:right w:val="none" w:sz="0" w:space="0" w:color="auto"/>
      </w:divBdr>
    </w:div>
    <w:div w:id="272060154">
      <w:bodyDiv w:val="1"/>
      <w:marLeft w:val="0"/>
      <w:marRight w:val="0"/>
      <w:marTop w:val="0"/>
      <w:marBottom w:val="0"/>
      <w:divBdr>
        <w:top w:val="none" w:sz="0" w:space="0" w:color="auto"/>
        <w:left w:val="none" w:sz="0" w:space="0" w:color="auto"/>
        <w:bottom w:val="none" w:sz="0" w:space="0" w:color="auto"/>
        <w:right w:val="none" w:sz="0" w:space="0" w:color="auto"/>
      </w:divBdr>
    </w:div>
    <w:div w:id="349138449">
      <w:bodyDiv w:val="1"/>
      <w:marLeft w:val="0"/>
      <w:marRight w:val="0"/>
      <w:marTop w:val="0"/>
      <w:marBottom w:val="0"/>
      <w:divBdr>
        <w:top w:val="none" w:sz="0" w:space="0" w:color="auto"/>
        <w:left w:val="none" w:sz="0" w:space="0" w:color="auto"/>
        <w:bottom w:val="none" w:sz="0" w:space="0" w:color="auto"/>
        <w:right w:val="none" w:sz="0" w:space="0" w:color="auto"/>
      </w:divBdr>
    </w:div>
    <w:div w:id="365370811">
      <w:bodyDiv w:val="1"/>
      <w:marLeft w:val="0"/>
      <w:marRight w:val="0"/>
      <w:marTop w:val="0"/>
      <w:marBottom w:val="0"/>
      <w:divBdr>
        <w:top w:val="none" w:sz="0" w:space="0" w:color="auto"/>
        <w:left w:val="none" w:sz="0" w:space="0" w:color="auto"/>
        <w:bottom w:val="none" w:sz="0" w:space="0" w:color="auto"/>
        <w:right w:val="none" w:sz="0" w:space="0" w:color="auto"/>
      </w:divBdr>
    </w:div>
    <w:div w:id="448401855">
      <w:bodyDiv w:val="1"/>
      <w:marLeft w:val="0"/>
      <w:marRight w:val="0"/>
      <w:marTop w:val="0"/>
      <w:marBottom w:val="0"/>
      <w:divBdr>
        <w:top w:val="none" w:sz="0" w:space="0" w:color="auto"/>
        <w:left w:val="none" w:sz="0" w:space="0" w:color="auto"/>
        <w:bottom w:val="none" w:sz="0" w:space="0" w:color="auto"/>
        <w:right w:val="none" w:sz="0" w:space="0" w:color="auto"/>
      </w:divBdr>
      <w:divsChild>
        <w:div w:id="603078008">
          <w:marLeft w:val="0"/>
          <w:marRight w:val="0"/>
          <w:marTop w:val="0"/>
          <w:marBottom w:val="0"/>
          <w:divBdr>
            <w:top w:val="none" w:sz="0" w:space="0" w:color="auto"/>
            <w:left w:val="none" w:sz="0" w:space="0" w:color="auto"/>
            <w:bottom w:val="none" w:sz="0" w:space="0" w:color="auto"/>
            <w:right w:val="none" w:sz="0" w:space="0" w:color="auto"/>
          </w:divBdr>
        </w:div>
        <w:div w:id="919943252">
          <w:marLeft w:val="600"/>
          <w:marRight w:val="0"/>
          <w:marTop w:val="150"/>
          <w:marBottom w:val="0"/>
          <w:divBdr>
            <w:top w:val="none" w:sz="0" w:space="0" w:color="auto"/>
            <w:left w:val="none" w:sz="0" w:space="0" w:color="auto"/>
            <w:bottom w:val="none" w:sz="0" w:space="0" w:color="auto"/>
            <w:right w:val="none" w:sz="0" w:space="0" w:color="auto"/>
          </w:divBdr>
        </w:div>
        <w:div w:id="2107186929">
          <w:marLeft w:val="600"/>
          <w:marRight w:val="0"/>
          <w:marTop w:val="0"/>
          <w:marBottom w:val="150"/>
          <w:divBdr>
            <w:top w:val="none" w:sz="0" w:space="0" w:color="auto"/>
            <w:left w:val="none" w:sz="0" w:space="0" w:color="auto"/>
            <w:bottom w:val="single" w:sz="6" w:space="8" w:color="B7BAC3"/>
            <w:right w:val="none" w:sz="0" w:space="0" w:color="auto"/>
          </w:divBdr>
        </w:div>
      </w:divsChild>
    </w:div>
    <w:div w:id="710112359">
      <w:bodyDiv w:val="1"/>
      <w:marLeft w:val="0"/>
      <w:marRight w:val="0"/>
      <w:marTop w:val="0"/>
      <w:marBottom w:val="0"/>
      <w:divBdr>
        <w:top w:val="none" w:sz="0" w:space="0" w:color="auto"/>
        <w:left w:val="none" w:sz="0" w:space="0" w:color="auto"/>
        <w:bottom w:val="none" w:sz="0" w:space="0" w:color="auto"/>
        <w:right w:val="none" w:sz="0" w:space="0" w:color="auto"/>
      </w:divBdr>
    </w:div>
    <w:div w:id="740712049">
      <w:bodyDiv w:val="1"/>
      <w:marLeft w:val="0"/>
      <w:marRight w:val="0"/>
      <w:marTop w:val="0"/>
      <w:marBottom w:val="0"/>
      <w:divBdr>
        <w:top w:val="none" w:sz="0" w:space="0" w:color="auto"/>
        <w:left w:val="none" w:sz="0" w:space="0" w:color="auto"/>
        <w:bottom w:val="none" w:sz="0" w:space="0" w:color="auto"/>
        <w:right w:val="none" w:sz="0" w:space="0" w:color="auto"/>
      </w:divBdr>
    </w:div>
    <w:div w:id="841549691">
      <w:bodyDiv w:val="1"/>
      <w:marLeft w:val="0"/>
      <w:marRight w:val="0"/>
      <w:marTop w:val="0"/>
      <w:marBottom w:val="0"/>
      <w:divBdr>
        <w:top w:val="none" w:sz="0" w:space="0" w:color="auto"/>
        <w:left w:val="none" w:sz="0" w:space="0" w:color="auto"/>
        <w:bottom w:val="none" w:sz="0" w:space="0" w:color="auto"/>
        <w:right w:val="none" w:sz="0" w:space="0" w:color="auto"/>
      </w:divBdr>
    </w:div>
    <w:div w:id="857616774">
      <w:bodyDiv w:val="1"/>
      <w:marLeft w:val="0"/>
      <w:marRight w:val="0"/>
      <w:marTop w:val="0"/>
      <w:marBottom w:val="0"/>
      <w:divBdr>
        <w:top w:val="none" w:sz="0" w:space="0" w:color="auto"/>
        <w:left w:val="none" w:sz="0" w:space="0" w:color="auto"/>
        <w:bottom w:val="none" w:sz="0" w:space="0" w:color="auto"/>
        <w:right w:val="none" w:sz="0" w:space="0" w:color="auto"/>
      </w:divBdr>
    </w:div>
    <w:div w:id="909537123">
      <w:bodyDiv w:val="1"/>
      <w:marLeft w:val="0"/>
      <w:marRight w:val="0"/>
      <w:marTop w:val="0"/>
      <w:marBottom w:val="0"/>
      <w:divBdr>
        <w:top w:val="none" w:sz="0" w:space="0" w:color="auto"/>
        <w:left w:val="none" w:sz="0" w:space="0" w:color="auto"/>
        <w:bottom w:val="none" w:sz="0" w:space="0" w:color="auto"/>
        <w:right w:val="none" w:sz="0" w:space="0" w:color="auto"/>
      </w:divBdr>
    </w:div>
    <w:div w:id="1034034590">
      <w:bodyDiv w:val="1"/>
      <w:marLeft w:val="0"/>
      <w:marRight w:val="0"/>
      <w:marTop w:val="0"/>
      <w:marBottom w:val="0"/>
      <w:divBdr>
        <w:top w:val="none" w:sz="0" w:space="0" w:color="auto"/>
        <w:left w:val="none" w:sz="0" w:space="0" w:color="auto"/>
        <w:bottom w:val="none" w:sz="0" w:space="0" w:color="auto"/>
        <w:right w:val="none" w:sz="0" w:space="0" w:color="auto"/>
      </w:divBdr>
      <w:divsChild>
        <w:div w:id="1384479331">
          <w:marLeft w:val="0"/>
          <w:marRight w:val="0"/>
          <w:marTop w:val="0"/>
          <w:marBottom w:val="0"/>
          <w:divBdr>
            <w:top w:val="none" w:sz="0" w:space="0" w:color="auto"/>
            <w:left w:val="none" w:sz="0" w:space="0" w:color="auto"/>
            <w:bottom w:val="none" w:sz="0" w:space="0" w:color="auto"/>
            <w:right w:val="none" w:sz="0" w:space="0" w:color="auto"/>
          </w:divBdr>
        </w:div>
        <w:div w:id="1226337639">
          <w:marLeft w:val="600"/>
          <w:marRight w:val="0"/>
          <w:marTop w:val="150"/>
          <w:marBottom w:val="0"/>
          <w:divBdr>
            <w:top w:val="none" w:sz="0" w:space="0" w:color="auto"/>
            <w:left w:val="none" w:sz="0" w:space="0" w:color="auto"/>
            <w:bottom w:val="none" w:sz="0" w:space="0" w:color="auto"/>
            <w:right w:val="none" w:sz="0" w:space="0" w:color="auto"/>
          </w:divBdr>
        </w:div>
        <w:div w:id="737748015">
          <w:marLeft w:val="600"/>
          <w:marRight w:val="0"/>
          <w:marTop w:val="0"/>
          <w:marBottom w:val="150"/>
          <w:divBdr>
            <w:top w:val="none" w:sz="0" w:space="0" w:color="auto"/>
            <w:left w:val="none" w:sz="0" w:space="0" w:color="auto"/>
            <w:bottom w:val="single" w:sz="6" w:space="8" w:color="B7BAC3"/>
            <w:right w:val="none" w:sz="0" w:space="0" w:color="auto"/>
          </w:divBdr>
        </w:div>
      </w:divsChild>
    </w:div>
    <w:div w:id="1035545533">
      <w:bodyDiv w:val="1"/>
      <w:marLeft w:val="0"/>
      <w:marRight w:val="0"/>
      <w:marTop w:val="0"/>
      <w:marBottom w:val="0"/>
      <w:divBdr>
        <w:top w:val="none" w:sz="0" w:space="0" w:color="auto"/>
        <w:left w:val="none" w:sz="0" w:space="0" w:color="auto"/>
        <w:bottom w:val="none" w:sz="0" w:space="0" w:color="auto"/>
        <w:right w:val="none" w:sz="0" w:space="0" w:color="auto"/>
      </w:divBdr>
    </w:div>
    <w:div w:id="1234506179">
      <w:bodyDiv w:val="1"/>
      <w:marLeft w:val="0"/>
      <w:marRight w:val="0"/>
      <w:marTop w:val="0"/>
      <w:marBottom w:val="0"/>
      <w:divBdr>
        <w:top w:val="none" w:sz="0" w:space="0" w:color="auto"/>
        <w:left w:val="none" w:sz="0" w:space="0" w:color="auto"/>
        <w:bottom w:val="none" w:sz="0" w:space="0" w:color="auto"/>
        <w:right w:val="none" w:sz="0" w:space="0" w:color="auto"/>
      </w:divBdr>
    </w:div>
    <w:div w:id="1260672902">
      <w:bodyDiv w:val="1"/>
      <w:marLeft w:val="0"/>
      <w:marRight w:val="0"/>
      <w:marTop w:val="0"/>
      <w:marBottom w:val="0"/>
      <w:divBdr>
        <w:top w:val="none" w:sz="0" w:space="0" w:color="auto"/>
        <w:left w:val="none" w:sz="0" w:space="0" w:color="auto"/>
        <w:bottom w:val="none" w:sz="0" w:space="0" w:color="auto"/>
        <w:right w:val="none" w:sz="0" w:space="0" w:color="auto"/>
      </w:divBdr>
    </w:div>
    <w:div w:id="1368026713">
      <w:bodyDiv w:val="1"/>
      <w:marLeft w:val="0"/>
      <w:marRight w:val="0"/>
      <w:marTop w:val="0"/>
      <w:marBottom w:val="0"/>
      <w:divBdr>
        <w:top w:val="none" w:sz="0" w:space="0" w:color="auto"/>
        <w:left w:val="none" w:sz="0" w:space="0" w:color="auto"/>
        <w:bottom w:val="none" w:sz="0" w:space="0" w:color="auto"/>
        <w:right w:val="none" w:sz="0" w:space="0" w:color="auto"/>
      </w:divBdr>
      <w:divsChild>
        <w:div w:id="941113100">
          <w:marLeft w:val="0"/>
          <w:marRight w:val="0"/>
          <w:marTop w:val="0"/>
          <w:marBottom w:val="0"/>
          <w:divBdr>
            <w:top w:val="none" w:sz="0" w:space="0" w:color="auto"/>
            <w:left w:val="none" w:sz="0" w:space="0" w:color="auto"/>
            <w:bottom w:val="none" w:sz="0" w:space="0" w:color="auto"/>
            <w:right w:val="none" w:sz="0" w:space="0" w:color="auto"/>
          </w:divBdr>
          <w:divsChild>
            <w:div w:id="27070750">
              <w:marLeft w:val="0"/>
              <w:marRight w:val="0"/>
              <w:marTop w:val="0"/>
              <w:marBottom w:val="0"/>
              <w:divBdr>
                <w:top w:val="none" w:sz="0" w:space="0" w:color="auto"/>
                <w:left w:val="none" w:sz="0" w:space="0" w:color="auto"/>
                <w:bottom w:val="none" w:sz="0" w:space="0" w:color="auto"/>
                <w:right w:val="none" w:sz="0" w:space="0" w:color="auto"/>
              </w:divBdr>
              <w:divsChild>
                <w:div w:id="1930968982">
                  <w:marLeft w:val="0"/>
                  <w:marRight w:val="0"/>
                  <w:marTop w:val="0"/>
                  <w:marBottom w:val="0"/>
                  <w:divBdr>
                    <w:top w:val="none" w:sz="0" w:space="0" w:color="auto"/>
                    <w:left w:val="none" w:sz="0" w:space="0" w:color="auto"/>
                    <w:bottom w:val="none" w:sz="0" w:space="0" w:color="auto"/>
                    <w:right w:val="none" w:sz="0" w:space="0" w:color="auto"/>
                  </w:divBdr>
                </w:div>
                <w:div w:id="6061435">
                  <w:marLeft w:val="0"/>
                  <w:marRight w:val="0"/>
                  <w:marTop w:val="0"/>
                  <w:marBottom w:val="0"/>
                  <w:divBdr>
                    <w:top w:val="none" w:sz="0" w:space="0" w:color="auto"/>
                    <w:left w:val="none" w:sz="0" w:space="0" w:color="auto"/>
                    <w:bottom w:val="none" w:sz="0" w:space="0" w:color="auto"/>
                    <w:right w:val="none" w:sz="0" w:space="0" w:color="auto"/>
                  </w:divBdr>
                </w:div>
                <w:div w:id="112790652">
                  <w:marLeft w:val="0"/>
                  <w:marRight w:val="0"/>
                  <w:marTop w:val="0"/>
                  <w:marBottom w:val="0"/>
                  <w:divBdr>
                    <w:top w:val="none" w:sz="0" w:space="0" w:color="auto"/>
                    <w:left w:val="none" w:sz="0" w:space="0" w:color="auto"/>
                    <w:bottom w:val="none" w:sz="0" w:space="0" w:color="auto"/>
                    <w:right w:val="none" w:sz="0" w:space="0" w:color="auto"/>
                  </w:divBdr>
                </w:div>
                <w:div w:id="68619669">
                  <w:marLeft w:val="0"/>
                  <w:marRight w:val="0"/>
                  <w:marTop w:val="0"/>
                  <w:marBottom w:val="0"/>
                  <w:divBdr>
                    <w:top w:val="none" w:sz="0" w:space="0" w:color="auto"/>
                    <w:left w:val="none" w:sz="0" w:space="0" w:color="auto"/>
                    <w:bottom w:val="none" w:sz="0" w:space="0" w:color="auto"/>
                    <w:right w:val="none" w:sz="0" w:space="0" w:color="auto"/>
                  </w:divBdr>
                </w:div>
                <w:div w:id="66154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784349">
      <w:bodyDiv w:val="1"/>
      <w:marLeft w:val="0"/>
      <w:marRight w:val="0"/>
      <w:marTop w:val="0"/>
      <w:marBottom w:val="0"/>
      <w:divBdr>
        <w:top w:val="none" w:sz="0" w:space="0" w:color="auto"/>
        <w:left w:val="none" w:sz="0" w:space="0" w:color="auto"/>
        <w:bottom w:val="none" w:sz="0" w:space="0" w:color="auto"/>
        <w:right w:val="none" w:sz="0" w:space="0" w:color="auto"/>
      </w:divBdr>
    </w:div>
    <w:div w:id="1531916911">
      <w:bodyDiv w:val="1"/>
      <w:marLeft w:val="0"/>
      <w:marRight w:val="0"/>
      <w:marTop w:val="0"/>
      <w:marBottom w:val="0"/>
      <w:divBdr>
        <w:top w:val="none" w:sz="0" w:space="0" w:color="auto"/>
        <w:left w:val="none" w:sz="0" w:space="0" w:color="auto"/>
        <w:bottom w:val="none" w:sz="0" w:space="0" w:color="auto"/>
        <w:right w:val="none" w:sz="0" w:space="0" w:color="auto"/>
      </w:divBdr>
    </w:div>
    <w:div w:id="1594631163">
      <w:bodyDiv w:val="1"/>
      <w:marLeft w:val="0"/>
      <w:marRight w:val="0"/>
      <w:marTop w:val="0"/>
      <w:marBottom w:val="0"/>
      <w:divBdr>
        <w:top w:val="none" w:sz="0" w:space="0" w:color="auto"/>
        <w:left w:val="none" w:sz="0" w:space="0" w:color="auto"/>
        <w:bottom w:val="none" w:sz="0" w:space="0" w:color="auto"/>
        <w:right w:val="none" w:sz="0" w:space="0" w:color="auto"/>
      </w:divBdr>
    </w:div>
    <w:div w:id="1601832853">
      <w:bodyDiv w:val="1"/>
      <w:marLeft w:val="0"/>
      <w:marRight w:val="0"/>
      <w:marTop w:val="0"/>
      <w:marBottom w:val="0"/>
      <w:divBdr>
        <w:top w:val="none" w:sz="0" w:space="0" w:color="auto"/>
        <w:left w:val="none" w:sz="0" w:space="0" w:color="auto"/>
        <w:bottom w:val="none" w:sz="0" w:space="0" w:color="auto"/>
        <w:right w:val="none" w:sz="0" w:space="0" w:color="auto"/>
      </w:divBdr>
    </w:div>
    <w:div w:id="1614287597">
      <w:bodyDiv w:val="1"/>
      <w:marLeft w:val="0"/>
      <w:marRight w:val="0"/>
      <w:marTop w:val="0"/>
      <w:marBottom w:val="0"/>
      <w:divBdr>
        <w:top w:val="none" w:sz="0" w:space="0" w:color="auto"/>
        <w:left w:val="none" w:sz="0" w:space="0" w:color="auto"/>
        <w:bottom w:val="none" w:sz="0" w:space="0" w:color="auto"/>
        <w:right w:val="none" w:sz="0" w:space="0" w:color="auto"/>
      </w:divBdr>
    </w:div>
    <w:div w:id="1724478893">
      <w:bodyDiv w:val="1"/>
      <w:marLeft w:val="0"/>
      <w:marRight w:val="0"/>
      <w:marTop w:val="0"/>
      <w:marBottom w:val="0"/>
      <w:divBdr>
        <w:top w:val="none" w:sz="0" w:space="0" w:color="auto"/>
        <w:left w:val="none" w:sz="0" w:space="0" w:color="auto"/>
        <w:bottom w:val="none" w:sz="0" w:space="0" w:color="auto"/>
        <w:right w:val="none" w:sz="0" w:space="0" w:color="auto"/>
      </w:divBdr>
    </w:div>
    <w:div w:id="1808627438">
      <w:bodyDiv w:val="1"/>
      <w:marLeft w:val="0"/>
      <w:marRight w:val="0"/>
      <w:marTop w:val="0"/>
      <w:marBottom w:val="0"/>
      <w:divBdr>
        <w:top w:val="none" w:sz="0" w:space="0" w:color="auto"/>
        <w:left w:val="none" w:sz="0" w:space="0" w:color="auto"/>
        <w:bottom w:val="none" w:sz="0" w:space="0" w:color="auto"/>
        <w:right w:val="none" w:sz="0" w:space="0" w:color="auto"/>
      </w:divBdr>
      <w:divsChild>
        <w:div w:id="1618677503">
          <w:marLeft w:val="0"/>
          <w:marRight w:val="0"/>
          <w:marTop w:val="0"/>
          <w:marBottom w:val="0"/>
          <w:divBdr>
            <w:top w:val="none" w:sz="0" w:space="0" w:color="auto"/>
            <w:left w:val="none" w:sz="0" w:space="0" w:color="auto"/>
            <w:bottom w:val="none" w:sz="0" w:space="0" w:color="auto"/>
            <w:right w:val="none" w:sz="0" w:space="0" w:color="auto"/>
          </w:divBdr>
          <w:divsChild>
            <w:div w:id="1167328289">
              <w:marLeft w:val="0"/>
              <w:marRight w:val="0"/>
              <w:marTop w:val="0"/>
              <w:marBottom w:val="0"/>
              <w:divBdr>
                <w:top w:val="none" w:sz="0" w:space="0" w:color="auto"/>
                <w:left w:val="none" w:sz="0" w:space="0" w:color="auto"/>
                <w:bottom w:val="none" w:sz="0" w:space="0" w:color="auto"/>
                <w:right w:val="none" w:sz="0" w:space="0" w:color="auto"/>
              </w:divBdr>
              <w:divsChild>
                <w:div w:id="2116165625">
                  <w:marLeft w:val="0"/>
                  <w:marRight w:val="0"/>
                  <w:marTop w:val="0"/>
                  <w:marBottom w:val="0"/>
                  <w:divBdr>
                    <w:top w:val="none" w:sz="0" w:space="0" w:color="auto"/>
                    <w:left w:val="none" w:sz="0" w:space="0" w:color="auto"/>
                    <w:bottom w:val="none" w:sz="0" w:space="0" w:color="auto"/>
                    <w:right w:val="none" w:sz="0" w:space="0" w:color="auto"/>
                  </w:divBdr>
                </w:div>
                <w:div w:id="737215175">
                  <w:marLeft w:val="0"/>
                  <w:marRight w:val="0"/>
                  <w:marTop w:val="0"/>
                  <w:marBottom w:val="0"/>
                  <w:divBdr>
                    <w:top w:val="none" w:sz="0" w:space="0" w:color="auto"/>
                    <w:left w:val="none" w:sz="0" w:space="0" w:color="auto"/>
                    <w:bottom w:val="none" w:sz="0" w:space="0" w:color="auto"/>
                    <w:right w:val="none" w:sz="0" w:space="0" w:color="auto"/>
                  </w:divBdr>
                </w:div>
                <w:div w:id="434399967">
                  <w:marLeft w:val="0"/>
                  <w:marRight w:val="0"/>
                  <w:marTop w:val="0"/>
                  <w:marBottom w:val="0"/>
                  <w:divBdr>
                    <w:top w:val="none" w:sz="0" w:space="0" w:color="auto"/>
                    <w:left w:val="none" w:sz="0" w:space="0" w:color="auto"/>
                    <w:bottom w:val="none" w:sz="0" w:space="0" w:color="auto"/>
                    <w:right w:val="none" w:sz="0" w:space="0" w:color="auto"/>
                  </w:divBdr>
                </w:div>
                <w:div w:id="116728494">
                  <w:marLeft w:val="0"/>
                  <w:marRight w:val="0"/>
                  <w:marTop w:val="0"/>
                  <w:marBottom w:val="0"/>
                  <w:divBdr>
                    <w:top w:val="none" w:sz="0" w:space="0" w:color="auto"/>
                    <w:left w:val="none" w:sz="0" w:space="0" w:color="auto"/>
                    <w:bottom w:val="none" w:sz="0" w:space="0" w:color="auto"/>
                    <w:right w:val="none" w:sz="0" w:space="0" w:color="auto"/>
                  </w:divBdr>
                </w:div>
                <w:div w:id="205268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909939">
      <w:bodyDiv w:val="1"/>
      <w:marLeft w:val="0"/>
      <w:marRight w:val="0"/>
      <w:marTop w:val="0"/>
      <w:marBottom w:val="0"/>
      <w:divBdr>
        <w:top w:val="none" w:sz="0" w:space="0" w:color="auto"/>
        <w:left w:val="none" w:sz="0" w:space="0" w:color="auto"/>
        <w:bottom w:val="none" w:sz="0" w:space="0" w:color="auto"/>
        <w:right w:val="none" w:sz="0" w:space="0" w:color="auto"/>
      </w:divBdr>
    </w:div>
    <w:div w:id="2026787009">
      <w:bodyDiv w:val="1"/>
      <w:marLeft w:val="0"/>
      <w:marRight w:val="0"/>
      <w:marTop w:val="0"/>
      <w:marBottom w:val="0"/>
      <w:divBdr>
        <w:top w:val="none" w:sz="0" w:space="0" w:color="auto"/>
        <w:left w:val="none" w:sz="0" w:space="0" w:color="auto"/>
        <w:bottom w:val="none" w:sz="0" w:space="0" w:color="auto"/>
        <w:right w:val="none" w:sz="0" w:space="0" w:color="auto"/>
      </w:divBdr>
    </w:div>
    <w:div w:id="206799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96599C8D5A02BA4494ADBF37BE2FE7E2" ma:contentTypeVersion="3" ma:contentTypeDescription="Creare un nuovo documento." ma:contentTypeScope="" ma:versionID="30c5fa60cf59a28f21923aa0990a2c4c">
  <xsd:schema xmlns:xsd="http://www.w3.org/2001/XMLSchema" xmlns:xs="http://www.w3.org/2001/XMLSchema" xmlns:p="http://schemas.microsoft.com/office/2006/metadata/properties" xmlns:ns2="5cf2aadf-ad82-4ca4-b902-7b607dd17575" targetNamespace="http://schemas.microsoft.com/office/2006/metadata/properties" ma:root="true" ma:fieldsID="1c3e7c00c886b0e4951f2156d3a0f0fd" ns2:_="">
    <xsd:import namespace="5cf2aadf-ad82-4ca4-b902-7b607dd1757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2aadf-ad82-4ca4-b902-7b607dd175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5E080E-D31D-4BE8-834D-7EF82DE1B404}">
  <ds:schemaRefs>
    <ds:schemaRef ds:uri="http://schemas.microsoft.com/sharepoint/v3/contenttype/forms"/>
  </ds:schemaRefs>
</ds:datastoreItem>
</file>

<file path=customXml/itemProps2.xml><?xml version="1.0" encoding="utf-8"?>
<ds:datastoreItem xmlns:ds="http://schemas.openxmlformats.org/officeDocument/2006/customXml" ds:itemID="{40E97079-4976-4144-BF11-53496B8C6B7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4A46960-808F-4B66-A746-4DF20C93A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2aadf-ad82-4ca4-b902-7b607dd175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5438</Words>
  <Characters>30997</Characters>
  <Application>Microsoft Office Word</Application>
  <DocSecurity>0</DocSecurity>
  <Lines>258</Lines>
  <Paragraphs>72</Paragraphs>
  <ScaleCrop>false</ScaleCrop>
  <Company/>
  <LinksUpToDate>false</LinksUpToDate>
  <CharactersWithSpaces>36363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Agostino Bultrini</dc:creator>
  <cp:keywords/>
  <dc:description/>
  <cp:lastModifiedBy>Mariella Sorrenti</cp:lastModifiedBy>
  <cp:revision>32</cp:revision>
  <cp:lastPrinted>2025-04-23T09:49:00Z</cp:lastPrinted>
  <dcterms:created xsi:type="dcterms:W3CDTF">2025-06-20T10:01:00Z</dcterms:created>
  <dcterms:modified xsi:type="dcterms:W3CDTF">2025-06-20T10:28:00Z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0x01010096599C8D5A02BA4494ADBF37BE2FE7E2</vt:lpwstr>
  </property>
</Properties>
</file>