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61DC" w14:textId="49B09448" w:rsidR="00144E3E" w:rsidRDefault="00944B2E" w:rsidP="00875C18">
      <w:pPr>
        <w:pStyle w:val="TitoloDocumento"/>
        <w:tabs>
          <w:tab w:val="left" w:pos="3036"/>
        </w:tabs>
        <w:ind w:right="566"/>
        <w:rPr>
          <w:sz w:val="60"/>
          <w:szCs w:val="60"/>
        </w:rPr>
      </w:pPr>
      <w:r w:rsidRPr="002050D7">
        <w:rPr>
          <w:bCs/>
          <w:caps/>
          <w:noProof/>
          <w:lang w:eastAsia="it-IT"/>
        </w:rPr>
        <w:drawing>
          <wp:anchor distT="0" distB="0" distL="114300" distR="114300" simplePos="0" relativeHeight="251661312" behindDoc="1" locked="0" layoutInCell="1" allowOverlap="1" wp14:anchorId="629DCAF1" wp14:editId="4F5271F7">
            <wp:simplePos x="0" y="0"/>
            <wp:positionH relativeFrom="column">
              <wp:posOffset>-804545</wp:posOffset>
            </wp:positionH>
            <wp:positionV relativeFrom="paragraph">
              <wp:posOffset>520700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60287" behindDoc="1" locked="0" layoutInCell="1" allowOverlap="1" wp14:anchorId="00D53DD3" wp14:editId="396E1D33">
                <wp:simplePos x="0" y="0"/>
                <wp:positionH relativeFrom="column">
                  <wp:posOffset>-801370</wp:posOffset>
                </wp:positionH>
                <wp:positionV relativeFrom="paragraph">
                  <wp:posOffset>-476250</wp:posOffset>
                </wp:positionV>
                <wp:extent cx="248400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248400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6636C" id="Rettangolo 3" o:spid="_x0000_s1026" style="position:absolute;margin-left:-63.1pt;margin-top:-37.5pt;width:195.6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6643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D5F47D2" w:rsidR="009D4EA8" w:rsidRPr="00EE3C78" w:rsidRDefault="00EE3C78"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6643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D5F47D2" w:rsidR="009D4EA8" w:rsidRPr="00EE3C78" w:rsidRDefault="00EE3C78" w:rsidP="00B96B24">
                      <w:pPr>
                        <w:pStyle w:val="TipoDocumento"/>
                      </w:pPr>
                      <w:r>
                        <w:t>documento</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8480" behindDoc="0" locked="0" layoutInCell="1" allowOverlap="1" wp14:anchorId="6D7F1B5D" wp14:editId="30B94A90">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0EBF23AA" w14:textId="77777777" w:rsidR="00D47E57" w:rsidRDefault="00D47E57" w:rsidP="00875C18">
      <w:pPr>
        <w:pStyle w:val="TitoloDocumento"/>
        <w:tabs>
          <w:tab w:val="left" w:pos="3036"/>
        </w:tabs>
        <w:ind w:right="566"/>
        <w:rPr>
          <w:sz w:val="60"/>
          <w:szCs w:val="60"/>
        </w:rPr>
      </w:pPr>
    </w:p>
    <w:p w14:paraId="2F952FFA" w14:textId="58ACE593" w:rsidR="00B96B24" w:rsidRPr="00AF7672" w:rsidRDefault="000F434D" w:rsidP="005B7ACB">
      <w:pPr>
        <w:pStyle w:val="TitoloDocumento"/>
        <w:ind w:right="566"/>
        <w:rPr>
          <w:b w:val="0"/>
          <w:smallCaps w:val="0"/>
          <w:sz w:val="52"/>
          <w:szCs w:val="52"/>
        </w:rPr>
      </w:pPr>
      <w:bookmarkStart w:id="0" w:name="_Hlk129181804"/>
      <w:r w:rsidRPr="000F434D">
        <w:rPr>
          <w:sz w:val="52"/>
          <w:szCs w:val="52"/>
        </w:rPr>
        <w:t>PARERE DELL’ORGANO DI REVISIONE SULLA PROPOSTA DI BILANCIO DI PREVISIONE 202</w:t>
      </w:r>
      <w:r w:rsidR="005B7ACB">
        <w:rPr>
          <w:sz w:val="52"/>
          <w:szCs w:val="52"/>
        </w:rPr>
        <w:t>6</w:t>
      </w:r>
      <w:r w:rsidRPr="000F434D">
        <w:rPr>
          <w:sz w:val="52"/>
          <w:szCs w:val="52"/>
        </w:rPr>
        <w:t>-202</w:t>
      </w:r>
      <w:r w:rsidR="005B7ACB">
        <w:rPr>
          <w:sz w:val="52"/>
          <w:szCs w:val="52"/>
        </w:rPr>
        <w:t>8</w:t>
      </w:r>
      <w:r w:rsidRPr="000F434D">
        <w:rPr>
          <w:sz w:val="52"/>
          <w:szCs w:val="52"/>
        </w:rPr>
        <w:t xml:space="preserve"> E DOCUMENTI ALLEGATI</w:t>
      </w:r>
      <w:r w:rsidR="00C46B64">
        <w:rPr>
          <w:sz w:val="52"/>
          <w:szCs w:val="52"/>
        </w:rPr>
        <w:t xml:space="preserve"> </w:t>
      </w:r>
      <w:bookmarkEnd w:id="0"/>
      <w:r w:rsidR="00721414">
        <w:rPr>
          <w:sz w:val="52"/>
          <w:szCs w:val="52"/>
        </w:rPr>
        <w:t>– aggiornato con la legge di bilancio 2026</w:t>
      </w:r>
    </w:p>
    <w:p w14:paraId="411BD0C1" w14:textId="5D9BD7CE" w:rsidR="00281EF7" w:rsidRDefault="00D47E57">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70528" behindDoc="0" locked="0" layoutInCell="1" allowOverlap="1" wp14:anchorId="19658D3A" wp14:editId="0DCEE535">
                <wp:simplePos x="0" y="0"/>
                <wp:positionH relativeFrom="column">
                  <wp:posOffset>10795</wp:posOffset>
                </wp:positionH>
                <wp:positionV relativeFrom="paragraph">
                  <wp:posOffset>207645</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6.35pt;width:1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r w:rsidR="00302409">
        <w:rPr>
          <w:noProof/>
          <w:lang w:eastAsia="it-IT"/>
        </w:rPr>
        <mc:AlternateContent>
          <mc:Choice Requires="wps">
            <w:drawing>
              <wp:anchor distT="0" distB="0" distL="114300" distR="114300" simplePos="0" relativeHeight="251686912" behindDoc="0" locked="0" layoutInCell="1" allowOverlap="1" wp14:anchorId="2D458220" wp14:editId="7ED6EC8F">
                <wp:simplePos x="0" y="0"/>
                <wp:positionH relativeFrom="column">
                  <wp:posOffset>2007870</wp:posOffset>
                </wp:positionH>
                <wp:positionV relativeFrom="page">
                  <wp:posOffset>7989570</wp:posOffset>
                </wp:positionV>
                <wp:extent cx="1836000" cy="233045"/>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43D0277E" w14:textId="3D5FD446" w:rsidR="00302409" w:rsidRPr="00B96B24" w:rsidRDefault="00875C18" w:rsidP="00944B2E">
                            <w:pPr>
                              <w:pStyle w:val="TipoDocumento"/>
                              <w:jc w:val="left"/>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8220" id="Casella di testo 303881397" o:spid="_x0000_s1029" type="#_x0000_t202" style="position:absolute;left:0;text-align:left;margin-left:158.1pt;margin-top:629.1pt;width:144.5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" fillcolor="white [3212]" stroked="f" strokeweight=".5pt">
                <v:textbox>
                  <w:txbxContent>
                    <w:p w14:paraId="43D0277E" w14:textId="3D5FD446" w:rsidR="00302409" w:rsidRPr="00B96B24" w:rsidRDefault="00875C18" w:rsidP="00944B2E">
                      <w:pPr>
                        <w:pStyle w:val="TipoDocumento"/>
                        <w:jc w:val="left"/>
                      </w:pPr>
                      <w:r>
                        <w:t>Consiglieri delegati</w:t>
                      </w:r>
                    </w:p>
                  </w:txbxContent>
                </v:textbox>
                <w10:wrap anchory="page"/>
              </v:shape>
            </w:pict>
          </mc:Fallback>
        </mc:AlternateContent>
      </w:r>
      <w:r w:rsidR="00832D7E">
        <w:rPr>
          <w:noProof/>
          <w:lang w:eastAsia="it-IT"/>
        </w:rPr>
        <mc:AlternateContent>
          <mc:Choice Requires="wps">
            <w:drawing>
              <wp:anchor distT="0" distB="0" distL="114300" distR="114300" simplePos="0" relativeHeight="251678720" behindDoc="0" locked="0" layoutInCell="1" allowOverlap="1" wp14:anchorId="587D327D" wp14:editId="279AA623">
                <wp:simplePos x="0" y="0"/>
                <wp:positionH relativeFrom="column">
                  <wp:posOffset>4583430</wp:posOffset>
                </wp:positionH>
                <wp:positionV relativeFrom="page">
                  <wp:posOffset>9244965</wp:posOffset>
                </wp:positionV>
                <wp:extent cx="168084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680845" cy="347345"/>
                        </a:xfrm>
                        <a:prstGeom prst="rect">
                          <a:avLst/>
                        </a:prstGeom>
                        <a:solidFill>
                          <a:schemeClr val="bg1"/>
                        </a:solidFill>
                        <a:ln w="6350">
                          <a:noFill/>
                        </a:ln>
                      </wps:spPr>
                      <wps:txbx>
                        <w:txbxContent>
                          <w:p w14:paraId="6B83BF11" w14:textId="5D286313" w:rsidR="00832D7E" w:rsidRPr="00B96B24" w:rsidRDefault="009A39B7" w:rsidP="00832D7E">
                            <w:pPr>
                              <w:pStyle w:val="TipoDocumento"/>
                              <w:jc w:val="right"/>
                            </w:pPr>
                            <w:r>
                              <w:t>20</w:t>
                            </w:r>
                            <w:r w:rsidR="000704E5" w:rsidRPr="009A39B7">
                              <w:t xml:space="preserve"> GENNAIO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30" type="#_x0000_t202" style="position:absolute;left:0;text-align:left;margin-left:360.9pt;margin-top:727.95pt;width:132.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" fillcolor="white [3212]" stroked="f" strokeweight=".5pt">
                <v:textbox>
                  <w:txbxContent>
                    <w:p w14:paraId="6B83BF11" w14:textId="5D286313" w:rsidR="00832D7E" w:rsidRPr="00B96B24" w:rsidRDefault="009A39B7" w:rsidP="00832D7E">
                      <w:pPr>
                        <w:pStyle w:val="TipoDocumento"/>
                        <w:jc w:val="right"/>
                      </w:pPr>
                      <w:r>
                        <w:t>20</w:t>
                      </w:r>
                      <w:r w:rsidR="000704E5" w:rsidRPr="009A39B7">
                        <w:t xml:space="preserve"> GENNAIO 2026</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1552" behindDoc="0" locked="0" layoutInCell="1" allowOverlap="1" wp14:anchorId="21DB5312" wp14:editId="2796DBBC">
                <wp:simplePos x="0" y="0"/>
                <wp:positionH relativeFrom="column">
                  <wp:posOffset>3241</wp:posOffset>
                </wp:positionH>
                <wp:positionV relativeFrom="page">
                  <wp:posOffset>8243248</wp:posOffset>
                </wp:positionV>
                <wp:extent cx="1809115" cy="1801504"/>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25pt;margin-top:649.05pt;width:142.45pt;height:1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CiPg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" fillcolor="black [3213]" stroked="f" strokeweight=".5pt">
                <v:fill opacity="9766f"/>
                <v:textbo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3600" behindDoc="0" locked="0" layoutInCell="1" allowOverlap="1" wp14:anchorId="31911927" wp14:editId="243CF198">
                <wp:simplePos x="0" y="0"/>
                <wp:positionH relativeFrom="column">
                  <wp:posOffset>2009462</wp:posOffset>
                </wp:positionH>
                <wp:positionV relativeFrom="page">
                  <wp:posOffset>8243248</wp:posOffset>
                </wp:positionV>
                <wp:extent cx="1809115" cy="1801504"/>
                <wp:effectExtent l="0" t="0" r="635" b="8255"/>
                <wp:wrapNone/>
                <wp:docPr id="12" name="Casella di testo 12"/>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927" id="Casella di testo 12" o:spid="_x0000_s1032" type="#_x0000_t202" style="position:absolute;left:0;text-align:left;margin-left:158.25pt;margin-top:649.05pt;width:142.45pt;height:1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EGPQ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" fillcolor="black [3213]" stroked="f" strokeweight=".5pt">
                <v:fill opacity="9766f"/>
                <v:textbo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5648" behindDoc="0" locked="0" layoutInCell="1" allowOverlap="1" wp14:anchorId="6D648412" wp14:editId="3071A8E3">
                <wp:simplePos x="0" y="0"/>
                <wp:positionH relativeFrom="column">
                  <wp:posOffset>8890</wp:posOffset>
                </wp:positionH>
                <wp:positionV relativeFrom="page">
                  <wp:posOffset>7994650</wp:posOffset>
                </wp:positionV>
                <wp:extent cx="183600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33" type="#_x0000_t202" style="position:absolute;left:0;text-align:left;margin-left:.7pt;margin-top:629.5pt;width:144.5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p>
    <w:p w14:paraId="1EB83C3A" w14:textId="3FBAE4B8" w:rsidR="00281EF7" w:rsidRDefault="0045691F" w:rsidP="0045691F">
      <w:pPr>
        <w:tabs>
          <w:tab w:val="left" w:pos="910"/>
        </w:tabs>
        <w:sectPr w:rsidR="00281EF7" w:rsidSect="00744F31">
          <w:headerReference w:type="default" r:id="rId12"/>
          <w:footerReference w:type="even" r:id="rId13"/>
          <w:footerReference w:type="default" r:id="rId14"/>
          <w:headerReference w:type="first" r:id="rId15"/>
          <w:pgSz w:w="11906" w:h="16838"/>
          <w:pgMar w:top="1417" w:right="1134" w:bottom="1134" w:left="1134" w:header="708" w:footer="708" w:gutter="0"/>
          <w:cols w:space="708"/>
          <w:titlePg/>
          <w:docGrid w:linePitch="360"/>
        </w:sectPr>
      </w:pPr>
      <w:r>
        <w:tab/>
      </w:r>
    </w:p>
    <w:p w14:paraId="42F8BC00" w14:textId="77777777" w:rsidR="00312F8F" w:rsidRDefault="00312F8F" w:rsidP="00F8628F">
      <w:pPr>
        <w:pBdr>
          <w:top w:val="single" w:sz="48" w:space="20" w:color="C00000"/>
        </w:pBdr>
        <w:spacing w:after="120" w:line="360" w:lineRule="auto"/>
        <w:rPr>
          <w:rFonts w:cstheme="minorHAnsi"/>
          <w:b/>
          <w:bCs/>
          <w:color w:val="C00000"/>
          <w:sz w:val="32"/>
          <w:szCs w:val="28"/>
        </w:rPr>
      </w:pPr>
      <w:bookmarkStart w:id="1" w:name="_Hlk132409553"/>
    </w:p>
    <w:p w14:paraId="51091317"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5C7D0AAE"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39331D19" w14:textId="642E3A3C" w:rsidR="00F8628F" w:rsidRPr="00877F8C" w:rsidRDefault="0045691F" w:rsidP="00F8628F">
      <w:pPr>
        <w:pBdr>
          <w:top w:val="single" w:sz="48" w:space="20" w:color="C00000"/>
        </w:pBdr>
        <w:spacing w:after="120" w:line="360" w:lineRule="auto"/>
        <w:rPr>
          <w:rFonts w:cstheme="minorHAnsi"/>
          <w:b/>
          <w:bCs/>
          <w:color w:val="C00000"/>
          <w:sz w:val="32"/>
          <w:szCs w:val="28"/>
        </w:rPr>
      </w:pPr>
      <w:r>
        <w:rPr>
          <w:rFonts w:cstheme="minorHAnsi"/>
          <w:b/>
          <w:bCs/>
          <w:color w:val="C00000"/>
          <w:sz w:val="32"/>
          <w:szCs w:val="28"/>
        </w:rPr>
        <w:t xml:space="preserve"> </w:t>
      </w:r>
    </w:p>
    <w:bookmarkEnd w:id="1"/>
    <w:p w14:paraId="39675348" w14:textId="77777777" w:rsidR="00860593" w:rsidRDefault="00860593" w:rsidP="00E00C42">
      <w:pPr>
        <w:spacing w:before="360" w:after="60" w:line="264" w:lineRule="auto"/>
        <w:rPr>
          <w:rFonts w:cstheme="minorHAnsi"/>
          <w:b/>
          <w:bCs/>
          <w:sz w:val="28"/>
          <w:szCs w:val="24"/>
        </w:rPr>
      </w:pPr>
    </w:p>
    <w:tbl>
      <w:tblPr>
        <w:tblpPr w:leftFromText="141" w:rightFromText="141" w:vertAnchor="text" w:horzAnchor="margin" w:tblpY="285"/>
        <w:tblW w:w="0" w:type="auto"/>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5704"/>
      </w:tblGrid>
      <w:tr w:rsidR="00860593" w:rsidRPr="000151AA" w14:paraId="2572AF74" w14:textId="77777777" w:rsidTr="00137E1F">
        <w:trPr>
          <w:trHeight w:hRule="exact" w:val="573"/>
        </w:trPr>
        <w:tc>
          <w:tcPr>
            <w:tcW w:w="5704" w:type="dxa"/>
            <w:shd w:val="clear" w:color="auto" w:fill="990000"/>
            <w:vAlign w:val="center"/>
          </w:tcPr>
          <w:p w14:paraId="654BBBDB" w14:textId="77777777" w:rsidR="00860593" w:rsidRPr="00717B89" w:rsidRDefault="00860593" w:rsidP="002F5982">
            <w:pPr>
              <w:spacing w:line="240" w:lineRule="auto"/>
              <w:rPr>
                <w:rFonts w:ascii="Calibri" w:eastAsia="Calibri" w:hAnsi="Calibri"/>
                <w:b/>
                <w:bCs/>
                <w:smallCaps/>
              </w:rPr>
            </w:pPr>
            <w:r w:rsidRPr="00860593">
              <w:rPr>
                <w:rFonts w:ascii="Calibri" w:eastAsia="Calibri" w:hAnsi="Calibri"/>
                <w:b/>
                <w:bCs/>
                <w:smallCaps/>
                <w:color w:val="auto"/>
              </w:rPr>
              <w:t>Gruppo di lavoro</w:t>
            </w:r>
          </w:p>
        </w:tc>
      </w:tr>
      <w:tr w:rsidR="00860593" w:rsidRPr="000151AA" w14:paraId="1431503D" w14:textId="77777777" w:rsidTr="00137E1F">
        <w:trPr>
          <w:trHeight w:hRule="exact" w:val="483"/>
        </w:trPr>
        <w:tc>
          <w:tcPr>
            <w:tcW w:w="5704" w:type="dxa"/>
            <w:vAlign w:val="center"/>
          </w:tcPr>
          <w:p w14:paraId="3BC1C863"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860593" w:rsidRPr="000151AA" w14:paraId="254FCCA9" w14:textId="77777777" w:rsidTr="00137E1F">
        <w:trPr>
          <w:trHeight w:hRule="exact" w:val="483"/>
        </w:trPr>
        <w:tc>
          <w:tcPr>
            <w:tcW w:w="5704" w:type="dxa"/>
            <w:vAlign w:val="center"/>
          </w:tcPr>
          <w:p w14:paraId="42DFF892"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860593" w:rsidRPr="000151AA" w14:paraId="0A3BE79D" w14:textId="77777777" w:rsidTr="00137E1F">
        <w:trPr>
          <w:trHeight w:hRule="exact" w:val="483"/>
        </w:trPr>
        <w:tc>
          <w:tcPr>
            <w:tcW w:w="5704" w:type="dxa"/>
            <w:vAlign w:val="center"/>
          </w:tcPr>
          <w:p w14:paraId="016B3E26" w14:textId="31FA55DB" w:rsidR="00860593" w:rsidRPr="00717B89" w:rsidRDefault="00860593" w:rsidP="002F5982">
            <w:pPr>
              <w:spacing w:line="240" w:lineRule="auto"/>
              <w:rPr>
                <w:rFonts w:ascii="Calibri" w:eastAsia="Calibri" w:hAnsi="Calibri"/>
                <w:i/>
                <w:iCs/>
                <w:szCs w:val="22"/>
              </w:rPr>
            </w:pPr>
            <w:r w:rsidRPr="00717B89">
              <w:rPr>
                <w:rFonts w:ascii="Calibri" w:eastAsia="Calibri" w:hAnsi="Calibri"/>
                <w:b/>
                <w:bCs/>
                <w:smallCaps/>
                <w:szCs w:val="22"/>
              </w:rPr>
              <w:t xml:space="preserve">Anna De Toni </w:t>
            </w:r>
            <w:r w:rsidR="00160626" w:rsidRPr="00717B89">
              <w:rPr>
                <w:rFonts w:ascii="Calibri" w:eastAsia="Calibri" w:hAnsi="Calibri"/>
                <w:smallCaps/>
                <w:szCs w:val="22"/>
              </w:rPr>
              <w:t xml:space="preserve">- </w:t>
            </w:r>
            <w:r w:rsidR="00160626" w:rsidRPr="00717B89">
              <w:rPr>
                <w:rFonts w:ascii="Calibri" w:eastAsia="Calibri" w:hAnsi="Calibri"/>
                <w:i/>
                <w:iCs/>
                <w:szCs w:val="22"/>
              </w:rPr>
              <w:t>Ricercatrice</w:t>
            </w:r>
            <w:r w:rsidR="0069284C" w:rsidRPr="00717B89">
              <w:rPr>
                <w:rFonts w:ascii="Calibri" w:eastAsia="Calibri" w:hAnsi="Calibri"/>
                <w:i/>
                <w:iCs/>
                <w:szCs w:val="22"/>
              </w:rPr>
              <w:t xml:space="preserve"> </w:t>
            </w:r>
            <w:r w:rsidR="00137E1F">
              <w:rPr>
                <w:rFonts w:ascii="Calibri" w:eastAsia="Calibri" w:hAnsi="Calibri"/>
                <w:i/>
                <w:iCs/>
                <w:szCs w:val="22"/>
              </w:rPr>
              <w:t>FNC</w:t>
            </w:r>
          </w:p>
        </w:tc>
      </w:tr>
    </w:tbl>
    <w:p w14:paraId="4001C845" w14:textId="24A13435" w:rsidR="00F8628F" w:rsidRDefault="00F8628F" w:rsidP="004C5239">
      <w:pPr>
        <w:pBdr>
          <w:top w:val="single" w:sz="36" w:space="12" w:color="C00000"/>
        </w:pBdr>
        <w:rPr>
          <w:b/>
          <w:bCs/>
          <w:color w:val="C00000"/>
          <w:sz w:val="32"/>
          <w:szCs w:val="28"/>
        </w:rPr>
        <w:sectPr w:rsidR="00F8628F" w:rsidSect="00744F31">
          <w:footerReference w:type="default" r:id="rId16"/>
          <w:pgSz w:w="11906" w:h="16838"/>
          <w:pgMar w:top="1985" w:right="1985" w:bottom="1418" w:left="1418" w:header="709" w:footer="499" w:gutter="0"/>
          <w:pgNumType w:start="1"/>
          <w:cols w:space="708"/>
          <w:docGrid w:linePitch="360"/>
        </w:sectPr>
      </w:pPr>
    </w:p>
    <w:p w14:paraId="731E3BD6" w14:textId="19B2465D" w:rsidR="00EE3C78" w:rsidRPr="00C37189" w:rsidRDefault="009731D1" w:rsidP="000A2BF6">
      <w:pPr>
        <w:pBdr>
          <w:top w:val="single" w:sz="36" w:space="12" w:color="C00000"/>
        </w:pBdr>
        <w:spacing w:after="0" w:line="0" w:lineRule="atLeast"/>
        <w:rPr>
          <w:b/>
          <w:bCs/>
          <w:color w:val="C00000"/>
          <w:sz w:val="24"/>
          <w:szCs w:val="24"/>
        </w:rPr>
      </w:pPr>
      <w:r w:rsidRPr="00C37189">
        <w:rPr>
          <w:rFonts w:eastAsia="Calibri"/>
          <w:b/>
          <w:bCs/>
          <w:caps/>
          <w:noProof/>
          <w:color w:val="C00000"/>
          <w:sz w:val="24"/>
          <w:szCs w:val="24"/>
          <w:lang w:eastAsia="it-IT"/>
        </w:rPr>
        <w:lastRenderedPageBreak/>
        <w:drawing>
          <wp:anchor distT="0" distB="0" distL="114300" distR="114300" simplePos="0" relativeHeight="251680768" behindDoc="1" locked="0" layoutInCell="1" allowOverlap="1" wp14:anchorId="742A3C03" wp14:editId="07259EEB">
            <wp:simplePos x="0" y="0"/>
            <wp:positionH relativeFrom="column">
              <wp:posOffset>-830580</wp:posOffset>
            </wp:positionH>
            <wp:positionV relativeFrom="paragraph">
              <wp:posOffset>60324</wp:posOffset>
            </wp:positionV>
            <wp:extent cx="6851650" cy="8855739"/>
            <wp:effectExtent l="0" t="0" r="6350" b="254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duotone>
                        <a:schemeClr val="accent3">
                          <a:shade val="45000"/>
                          <a:satMod val="135000"/>
                        </a:schemeClr>
                        <a:prstClr val="white"/>
                      </a:duotone>
                      <a:alphaModFix amt="46000"/>
                      <a:extLst>
                        <a:ext uri="{BEBA8EAE-BF5A-486C-A8C5-ECC9F3942E4B}">
                          <a14:imgProps xmlns:a14="http://schemas.microsoft.com/office/drawing/2010/main">
                            <a14:imgLayer r:embed="rId18">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858823" cy="886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C37189">
        <w:rPr>
          <w:b/>
          <w:bCs/>
          <w:color w:val="C00000"/>
          <w:sz w:val="24"/>
          <w:szCs w:val="24"/>
        </w:rPr>
        <w:t>Sommario</w:t>
      </w:r>
    </w:p>
    <w:p w14:paraId="4FE6129D" w14:textId="07CA4DE5" w:rsidR="00BB2601" w:rsidRDefault="00F8628F">
      <w:pPr>
        <w:pStyle w:val="Sommario1"/>
        <w:rPr>
          <w:rFonts w:cstheme="minorBidi"/>
          <w:bCs w:val="0"/>
          <w:color w:val="auto"/>
          <w:kern w:val="2"/>
          <w:sz w:val="24"/>
          <w:szCs w:val="24"/>
          <w:lang w:eastAsia="it-IT"/>
          <w14:ligatures w14:val="standardContextual"/>
        </w:rPr>
      </w:pPr>
      <w:r w:rsidRPr="00693D95">
        <w:rPr>
          <w:b/>
          <w:caps/>
          <w:sz w:val="20"/>
          <w:szCs w:val="20"/>
        </w:rPr>
        <w:fldChar w:fldCharType="begin"/>
      </w:r>
      <w:r w:rsidRPr="00693D95">
        <w:rPr>
          <w:b/>
          <w:caps/>
          <w:sz w:val="20"/>
          <w:szCs w:val="20"/>
        </w:rPr>
        <w:instrText xml:space="preserve"> TOC \o "1-5" \h \z \u </w:instrText>
      </w:r>
      <w:r w:rsidRPr="00693D95">
        <w:rPr>
          <w:b/>
          <w:caps/>
          <w:sz w:val="20"/>
          <w:szCs w:val="20"/>
        </w:rPr>
        <w:fldChar w:fldCharType="separate"/>
      </w:r>
      <w:hyperlink w:anchor="_Toc219808154" w:history="1">
        <w:r w:rsidR="00BB2601" w:rsidRPr="00C64DF7">
          <w:rPr>
            <w:rStyle w:val="Collegamentoipertestuale"/>
          </w:rPr>
          <w:t>Presentazione</w:t>
        </w:r>
        <w:r w:rsidR="00BB2601">
          <w:rPr>
            <w:webHidden/>
          </w:rPr>
          <w:tab/>
        </w:r>
        <w:r w:rsidR="00BB2601">
          <w:rPr>
            <w:webHidden/>
          </w:rPr>
          <w:fldChar w:fldCharType="begin"/>
        </w:r>
        <w:r w:rsidR="00BB2601">
          <w:rPr>
            <w:webHidden/>
          </w:rPr>
          <w:instrText xml:space="preserve"> PAGEREF _Toc219808154 \h </w:instrText>
        </w:r>
        <w:r w:rsidR="00BB2601">
          <w:rPr>
            <w:webHidden/>
          </w:rPr>
        </w:r>
        <w:r w:rsidR="00BB2601">
          <w:rPr>
            <w:webHidden/>
          </w:rPr>
          <w:fldChar w:fldCharType="separate"/>
        </w:r>
        <w:r w:rsidR="00BB2601">
          <w:rPr>
            <w:webHidden/>
          </w:rPr>
          <w:t>3</w:t>
        </w:r>
        <w:r w:rsidR="00BB2601">
          <w:rPr>
            <w:webHidden/>
          </w:rPr>
          <w:fldChar w:fldCharType="end"/>
        </w:r>
      </w:hyperlink>
    </w:p>
    <w:p w14:paraId="4864E4CE" w14:textId="5F0FB6FC" w:rsidR="00BB2601" w:rsidRDefault="00BB2601">
      <w:pPr>
        <w:pStyle w:val="Sommario1"/>
        <w:rPr>
          <w:rFonts w:cstheme="minorBidi"/>
          <w:bCs w:val="0"/>
          <w:color w:val="auto"/>
          <w:kern w:val="2"/>
          <w:sz w:val="24"/>
          <w:szCs w:val="24"/>
          <w:lang w:eastAsia="it-IT"/>
          <w14:ligatures w14:val="standardContextual"/>
        </w:rPr>
      </w:pPr>
      <w:hyperlink w:anchor="_Toc219808155" w:history="1">
        <w:r w:rsidRPr="00C64DF7">
          <w:rPr>
            <w:rStyle w:val="Collegamentoipertestuale"/>
          </w:rPr>
          <w:t>1.</w:t>
        </w:r>
        <w:r>
          <w:rPr>
            <w:rFonts w:cstheme="minorBidi"/>
            <w:bCs w:val="0"/>
            <w:color w:val="auto"/>
            <w:kern w:val="2"/>
            <w:sz w:val="24"/>
            <w:szCs w:val="24"/>
            <w:lang w:eastAsia="it-IT"/>
            <w14:ligatures w14:val="standardContextual"/>
          </w:rPr>
          <w:tab/>
        </w:r>
        <w:r w:rsidRPr="00C64DF7">
          <w:rPr>
            <w:rStyle w:val="Collegamentoipertestuale"/>
          </w:rPr>
          <w:t>PREMESSA</w:t>
        </w:r>
        <w:r>
          <w:rPr>
            <w:webHidden/>
          </w:rPr>
          <w:tab/>
        </w:r>
        <w:r>
          <w:rPr>
            <w:webHidden/>
          </w:rPr>
          <w:fldChar w:fldCharType="begin"/>
        </w:r>
        <w:r>
          <w:rPr>
            <w:webHidden/>
          </w:rPr>
          <w:instrText xml:space="preserve"> PAGEREF _Toc219808155 \h </w:instrText>
        </w:r>
        <w:r>
          <w:rPr>
            <w:webHidden/>
          </w:rPr>
        </w:r>
        <w:r>
          <w:rPr>
            <w:webHidden/>
          </w:rPr>
          <w:fldChar w:fldCharType="separate"/>
        </w:r>
        <w:r>
          <w:rPr>
            <w:webHidden/>
          </w:rPr>
          <w:t>6</w:t>
        </w:r>
        <w:r>
          <w:rPr>
            <w:webHidden/>
          </w:rPr>
          <w:fldChar w:fldCharType="end"/>
        </w:r>
      </w:hyperlink>
    </w:p>
    <w:p w14:paraId="61AA8F85" w14:textId="08D67BBE" w:rsidR="00BB2601" w:rsidRDefault="00BB2601">
      <w:pPr>
        <w:pStyle w:val="Sommario1"/>
        <w:rPr>
          <w:rFonts w:cstheme="minorBidi"/>
          <w:bCs w:val="0"/>
          <w:color w:val="auto"/>
          <w:kern w:val="2"/>
          <w:sz w:val="24"/>
          <w:szCs w:val="24"/>
          <w:lang w:eastAsia="it-IT"/>
          <w14:ligatures w14:val="standardContextual"/>
        </w:rPr>
      </w:pPr>
      <w:hyperlink w:anchor="_Toc219808156" w:history="1">
        <w:r w:rsidRPr="00C64DF7">
          <w:rPr>
            <w:rStyle w:val="Collegamentoipertestuale"/>
          </w:rPr>
          <w:t>2. NOTIZIE GENERALI SULL’ENTE</w:t>
        </w:r>
        <w:r>
          <w:rPr>
            <w:webHidden/>
          </w:rPr>
          <w:tab/>
        </w:r>
        <w:r>
          <w:rPr>
            <w:webHidden/>
          </w:rPr>
          <w:fldChar w:fldCharType="begin"/>
        </w:r>
        <w:r>
          <w:rPr>
            <w:webHidden/>
          </w:rPr>
          <w:instrText xml:space="preserve"> PAGEREF _Toc219808156 \h </w:instrText>
        </w:r>
        <w:r>
          <w:rPr>
            <w:webHidden/>
          </w:rPr>
        </w:r>
        <w:r>
          <w:rPr>
            <w:webHidden/>
          </w:rPr>
          <w:fldChar w:fldCharType="separate"/>
        </w:r>
        <w:r>
          <w:rPr>
            <w:webHidden/>
          </w:rPr>
          <w:t>6</w:t>
        </w:r>
        <w:r>
          <w:rPr>
            <w:webHidden/>
          </w:rPr>
          <w:fldChar w:fldCharType="end"/>
        </w:r>
      </w:hyperlink>
    </w:p>
    <w:p w14:paraId="6750D59A" w14:textId="21CD2674" w:rsidR="00BB2601" w:rsidRDefault="00BB2601">
      <w:pPr>
        <w:pStyle w:val="Sommario1"/>
        <w:rPr>
          <w:rFonts w:cstheme="minorBidi"/>
          <w:bCs w:val="0"/>
          <w:color w:val="auto"/>
          <w:kern w:val="2"/>
          <w:sz w:val="24"/>
          <w:szCs w:val="24"/>
          <w:lang w:eastAsia="it-IT"/>
          <w14:ligatures w14:val="standardContextual"/>
        </w:rPr>
      </w:pPr>
      <w:hyperlink w:anchor="_Toc219808157" w:history="1">
        <w:r w:rsidRPr="00C64DF7">
          <w:rPr>
            <w:rStyle w:val="Collegamentoipertestuale"/>
          </w:rPr>
          <w:t>3. DOMANDE PRELIMINARI</w:t>
        </w:r>
        <w:r>
          <w:rPr>
            <w:webHidden/>
          </w:rPr>
          <w:tab/>
        </w:r>
        <w:r>
          <w:rPr>
            <w:webHidden/>
          </w:rPr>
          <w:fldChar w:fldCharType="begin"/>
        </w:r>
        <w:r>
          <w:rPr>
            <w:webHidden/>
          </w:rPr>
          <w:instrText xml:space="preserve"> PAGEREF _Toc219808157 \h </w:instrText>
        </w:r>
        <w:r>
          <w:rPr>
            <w:webHidden/>
          </w:rPr>
        </w:r>
        <w:r>
          <w:rPr>
            <w:webHidden/>
          </w:rPr>
          <w:fldChar w:fldCharType="separate"/>
        </w:r>
        <w:r>
          <w:rPr>
            <w:webHidden/>
          </w:rPr>
          <w:t>7</w:t>
        </w:r>
        <w:r>
          <w:rPr>
            <w:webHidden/>
          </w:rPr>
          <w:fldChar w:fldCharType="end"/>
        </w:r>
      </w:hyperlink>
    </w:p>
    <w:p w14:paraId="231F718E" w14:textId="472E209A" w:rsidR="00BB2601" w:rsidRDefault="00BB2601">
      <w:pPr>
        <w:pStyle w:val="Sommario1"/>
        <w:rPr>
          <w:rFonts w:cstheme="minorBidi"/>
          <w:bCs w:val="0"/>
          <w:color w:val="auto"/>
          <w:kern w:val="2"/>
          <w:sz w:val="24"/>
          <w:szCs w:val="24"/>
          <w:lang w:eastAsia="it-IT"/>
          <w14:ligatures w14:val="standardContextual"/>
        </w:rPr>
      </w:pPr>
      <w:hyperlink w:anchor="_Toc219808158" w:history="1">
        <w:r w:rsidRPr="00C64DF7">
          <w:rPr>
            <w:rStyle w:val="Collegamentoipertestuale"/>
          </w:rPr>
          <w:t>4. VERIFICHE SULLA PROGRAMMAZIONE</w:t>
        </w:r>
        <w:r>
          <w:rPr>
            <w:webHidden/>
          </w:rPr>
          <w:tab/>
        </w:r>
        <w:r>
          <w:rPr>
            <w:webHidden/>
          </w:rPr>
          <w:fldChar w:fldCharType="begin"/>
        </w:r>
        <w:r>
          <w:rPr>
            <w:webHidden/>
          </w:rPr>
          <w:instrText xml:space="preserve"> PAGEREF _Toc219808158 \h </w:instrText>
        </w:r>
        <w:r>
          <w:rPr>
            <w:webHidden/>
          </w:rPr>
        </w:r>
        <w:r>
          <w:rPr>
            <w:webHidden/>
          </w:rPr>
          <w:fldChar w:fldCharType="separate"/>
        </w:r>
        <w:r>
          <w:rPr>
            <w:webHidden/>
          </w:rPr>
          <w:t>9</w:t>
        </w:r>
        <w:r>
          <w:rPr>
            <w:webHidden/>
          </w:rPr>
          <w:fldChar w:fldCharType="end"/>
        </w:r>
      </w:hyperlink>
    </w:p>
    <w:p w14:paraId="08540AB0" w14:textId="1E231F59" w:rsidR="00BB2601" w:rsidRDefault="00BB2601">
      <w:pPr>
        <w:pStyle w:val="Sommario1"/>
        <w:rPr>
          <w:rFonts w:cstheme="minorBidi"/>
          <w:bCs w:val="0"/>
          <w:color w:val="auto"/>
          <w:kern w:val="2"/>
          <w:sz w:val="24"/>
          <w:szCs w:val="24"/>
          <w:lang w:eastAsia="it-IT"/>
          <w14:ligatures w14:val="standardContextual"/>
        </w:rPr>
      </w:pPr>
      <w:hyperlink w:anchor="_Toc219808159" w:history="1">
        <w:r w:rsidRPr="00C64DF7">
          <w:rPr>
            <w:rStyle w:val="Collegamentoipertestuale"/>
          </w:rPr>
          <w:t>5. LA GESTIONE DEGLI ESERCIZI 2024 E 2025</w:t>
        </w:r>
        <w:r>
          <w:rPr>
            <w:webHidden/>
          </w:rPr>
          <w:tab/>
        </w:r>
        <w:r>
          <w:rPr>
            <w:webHidden/>
          </w:rPr>
          <w:fldChar w:fldCharType="begin"/>
        </w:r>
        <w:r>
          <w:rPr>
            <w:webHidden/>
          </w:rPr>
          <w:instrText xml:space="preserve"> PAGEREF _Toc219808159 \h </w:instrText>
        </w:r>
        <w:r>
          <w:rPr>
            <w:webHidden/>
          </w:rPr>
        </w:r>
        <w:r>
          <w:rPr>
            <w:webHidden/>
          </w:rPr>
          <w:fldChar w:fldCharType="separate"/>
        </w:r>
        <w:r>
          <w:rPr>
            <w:webHidden/>
          </w:rPr>
          <w:t>11</w:t>
        </w:r>
        <w:r>
          <w:rPr>
            <w:webHidden/>
          </w:rPr>
          <w:fldChar w:fldCharType="end"/>
        </w:r>
      </w:hyperlink>
    </w:p>
    <w:p w14:paraId="1B2ABAF6" w14:textId="0BB218C0" w:rsidR="00BB2601" w:rsidRDefault="00BB2601">
      <w:pPr>
        <w:pStyle w:val="Sommario1"/>
        <w:rPr>
          <w:rFonts w:cstheme="minorBidi"/>
          <w:bCs w:val="0"/>
          <w:color w:val="auto"/>
          <w:kern w:val="2"/>
          <w:sz w:val="24"/>
          <w:szCs w:val="24"/>
          <w:lang w:eastAsia="it-IT"/>
          <w14:ligatures w14:val="standardContextual"/>
        </w:rPr>
      </w:pPr>
      <w:hyperlink w:anchor="_Toc219808160" w:history="1">
        <w:r w:rsidRPr="00C64DF7">
          <w:rPr>
            <w:rStyle w:val="Collegamentoipertestuale"/>
            <w:i/>
            <w:iCs/>
          </w:rPr>
          <w:t>5.1 Debiti fuori bilancio</w:t>
        </w:r>
        <w:r>
          <w:rPr>
            <w:webHidden/>
          </w:rPr>
          <w:tab/>
        </w:r>
        <w:r>
          <w:rPr>
            <w:webHidden/>
          </w:rPr>
          <w:fldChar w:fldCharType="begin"/>
        </w:r>
        <w:r>
          <w:rPr>
            <w:webHidden/>
          </w:rPr>
          <w:instrText xml:space="preserve"> PAGEREF _Toc219808160 \h </w:instrText>
        </w:r>
        <w:r>
          <w:rPr>
            <w:webHidden/>
          </w:rPr>
        </w:r>
        <w:r>
          <w:rPr>
            <w:webHidden/>
          </w:rPr>
          <w:fldChar w:fldCharType="separate"/>
        </w:r>
        <w:r>
          <w:rPr>
            <w:webHidden/>
          </w:rPr>
          <w:t>11</w:t>
        </w:r>
        <w:r>
          <w:rPr>
            <w:webHidden/>
          </w:rPr>
          <w:fldChar w:fldCharType="end"/>
        </w:r>
      </w:hyperlink>
    </w:p>
    <w:p w14:paraId="51532B9C" w14:textId="3552BC9A" w:rsidR="00BB2601" w:rsidRDefault="00BB2601">
      <w:pPr>
        <w:pStyle w:val="Sommario1"/>
        <w:rPr>
          <w:rFonts w:cstheme="minorBidi"/>
          <w:bCs w:val="0"/>
          <w:color w:val="auto"/>
          <w:kern w:val="2"/>
          <w:sz w:val="24"/>
          <w:szCs w:val="24"/>
          <w:lang w:eastAsia="it-IT"/>
          <w14:ligatures w14:val="standardContextual"/>
        </w:rPr>
      </w:pPr>
      <w:hyperlink w:anchor="_Toc219808161" w:history="1">
        <w:r w:rsidRPr="00C64DF7">
          <w:rPr>
            <w:rStyle w:val="Collegamentoipertestuale"/>
            <w:rFonts w:ascii="Calibri" w:eastAsiaTheme="majorEastAsia" w:hAnsi="Calibri" w:cs="Times New Roman (Titoli CS)"/>
            <w:b/>
            <w:i/>
            <w:iCs/>
          </w:rPr>
          <w:t>5.2 Enti in disavanzo</w:t>
        </w:r>
        <w:r w:rsidRPr="00C64DF7">
          <w:rPr>
            <w:rStyle w:val="Collegamentoipertestuale"/>
            <w:rFonts w:ascii="Calibri" w:eastAsiaTheme="majorEastAsia" w:hAnsi="Calibri" w:cs="Times New Roman (Titoli CS)"/>
            <w:b/>
          </w:rPr>
          <w:t xml:space="preserve"> </w:t>
        </w:r>
        <w:r w:rsidRPr="00C64DF7">
          <w:rPr>
            <w:rStyle w:val="Collegamentoipertestuale"/>
            <w:rFonts w:ascii="Arial" w:eastAsia="Arial" w:hAnsi="Arial" w:cs="Arial"/>
            <w:i/>
            <w:iCs/>
          </w:rPr>
          <w:t>(da compilare solo se ricorre la fattispecie)</w:t>
        </w:r>
        <w:r>
          <w:rPr>
            <w:webHidden/>
          </w:rPr>
          <w:tab/>
        </w:r>
        <w:r>
          <w:rPr>
            <w:webHidden/>
          </w:rPr>
          <w:fldChar w:fldCharType="begin"/>
        </w:r>
        <w:r>
          <w:rPr>
            <w:webHidden/>
          </w:rPr>
          <w:instrText xml:space="preserve"> PAGEREF _Toc219808161 \h </w:instrText>
        </w:r>
        <w:r>
          <w:rPr>
            <w:webHidden/>
          </w:rPr>
        </w:r>
        <w:r>
          <w:rPr>
            <w:webHidden/>
          </w:rPr>
          <w:fldChar w:fldCharType="separate"/>
        </w:r>
        <w:r>
          <w:rPr>
            <w:webHidden/>
          </w:rPr>
          <w:t>12</w:t>
        </w:r>
        <w:r>
          <w:rPr>
            <w:webHidden/>
          </w:rPr>
          <w:fldChar w:fldCharType="end"/>
        </w:r>
      </w:hyperlink>
    </w:p>
    <w:p w14:paraId="7EBCDB02" w14:textId="03ABDFBF" w:rsidR="00BB2601" w:rsidRDefault="00BB2601">
      <w:pPr>
        <w:pStyle w:val="Sommario1"/>
        <w:rPr>
          <w:rFonts w:cstheme="minorBidi"/>
          <w:bCs w:val="0"/>
          <w:color w:val="auto"/>
          <w:kern w:val="2"/>
          <w:sz w:val="24"/>
          <w:szCs w:val="24"/>
          <w:lang w:eastAsia="it-IT"/>
          <w14:ligatures w14:val="standardContextual"/>
        </w:rPr>
      </w:pPr>
      <w:hyperlink w:anchor="_Toc219808162" w:history="1">
        <w:r w:rsidRPr="00C64DF7">
          <w:rPr>
            <w:rStyle w:val="Collegamentoipertestuale"/>
          </w:rPr>
          <w:t>6. BILANCIO DI PREVISIONE 2026-2028</w:t>
        </w:r>
        <w:r>
          <w:rPr>
            <w:webHidden/>
          </w:rPr>
          <w:tab/>
        </w:r>
        <w:r>
          <w:rPr>
            <w:webHidden/>
          </w:rPr>
          <w:fldChar w:fldCharType="begin"/>
        </w:r>
        <w:r>
          <w:rPr>
            <w:webHidden/>
          </w:rPr>
          <w:instrText xml:space="preserve"> PAGEREF _Toc219808162 \h </w:instrText>
        </w:r>
        <w:r>
          <w:rPr>
            <w:webHidden/>
          </w:rPr>
        </w:r>
        <w:r>
          <w:rPr>
            <w:webHidden/>
          </w:rPr>
          <w:fldChar w:fldCharType="separate"/>
        </w:r>
        <w:r>
          <w:rPr>
            <w:webHidden/>
          </w:rPr>
          <w:t>14</w:t>
        </w:r>
        <w:r>
          <w:rPr>
            <w:webHidden/>
          </w:rPr>
          <w:fldChar w:fldCharType="end"/>
        </w:r>
      </w:hyperlink>
    </w:p>
    <w:p w14:paraId="2E2AC5AD" w14:textId="4236CDDA" w:rsidR="00BB2601" w:rsidRDefault="00BB2601">
      <w:pPr>
        <w:pStyle w:val="Sommario1"/>
        <w:rPr>
          <w:rFonts w:cstheme="minorBidi"/>
          <w:bCs w:val="0"/>
          <w:color w:val="auto"/>
          <w:kern w:val="2"/>
          <w:sz w:val="24"/>
          <w:szCs w:val="24"/>
          <w:lang w:eastAsia="it-IT"/>
          <w14:ligatures w14:val="standardContextual"/>
        </w:rPr>
      </w:pPr>
      <w:hyperlink w:anchor="_Toc219808163" w:history="1">
        <w:r w:rsidRPr="00C64DF7">
          <w:rPr>
            <w:rStyle w:val="Collegamentoipertestuale"/>
            <w:rFonts w:ascii="Calibri" w:eastAsiaTheme="majorEastAsia" w:hAnsi="Calibri" w:cs="Times New Roman (Titoli CS)"/>
            <w:b/>
            <w:i/>
            <w:iCs/>
          </w:rPr>
          <w:t>6.1. Fondo pluriennale vincolato (FPV)</w:t>
        </w:r>
        <w:r>
          <w:rPr>
            <w:webHidden/>
          </w:rPr>
          <w:tab/>
        </w:r>
        <w:r>
          <w:rPr>
            <w:webHidden/>
          </w:rPr>
          <w:fldChar w:fldCharType="begin"/>
        </w:r>
        <w:r>
          <w:rPr>
            <w:webHidden/>
          </w:rPr>
          <w:instrText xml:space="preserve"> PAGEREF _Toc219808163 \h </w:instrText>
        </w:r>
        <w:r>
          <w:rPr>
            <w:webHidden/>
          </w:rPr>
        </w:r>
        <w:r>
          <w:rPr>
            <w:webHidden/>
          </w:rPr>
          <w:fldChar w:fldCharType="separate"/>
        </w:r>
        <w:r>
          <w:rPr>
            <w:webHidden/>
          </w:rPr>
          <w:t>14</w:t>
        </w:r>
        <w:r>
          <w:rPr>
            <w:webHidden/>
          </w:rPr>
          <w:fldChar w:fldCharType="end"/>
        </w:r>
      </w:hyperlink>
    </w:p>
    <w:p w14:paraId="39EE51B1" w14:textId="2416D587" w:rsidR="00BB2601" w:rsidRDefault="00BB2601">
      <w:pPr>
        <w:pStyle w:val="Sommario1"/>
        <w:rPr>
          <w:rFonts w:cstheme="minorBidi"/>
          <w:bCs w:val="0"/>
          <w:color w:val="auto"/>
          <w:kern w:val="2"/>
          <w:sz w:val="24"/>
          <w:szCs w:val="24"/>
          <w:lang w:eastAsia="it-IT"/>
          <w14:ligatures w14:val="standardContextual"/>
        </w:rPr>
      </w:pPr>
      <w:hyperlink w:anchor="_Toc219808164" w:history="1">
        <w:r w:rsidRPr="00C64DF7">
          <w:rPr>
            <w:rStyle w:val="Collegamentoipertestuale"/>
            <w:rFonts w:ascii="Calibri" w:eastAsiaTheme="majorEastAsia" w:hAnsi="Calibri" w:cs="Times New Roman (Titoli CS)"/>
            <w:b/>
            <w:i/>
            <w:iCs/>
          </w:rPr>
          <w:t>6.2 FAL – Fondo anticipazione liquidità</w:t>
        </w:r>
        <w:r>
          <w:rPr>
            <w:webHidden/>
          </w:rPr>
          <w:tab/>
        </w:r>
        <w:r>
          <w:rPr>
            <w:webHidden/>
          </w:rPr>
          <w:fldChar w:fldCharType="begin"/>
        </w:r>
        <w:r>
          <w:rPr>
            <w:webHidden/>
          </w:rPr>
          <w:instrText xml:space="preserve"> PAGEREF _Toc219808164 \h </w:instrText>
        </w:r>
        <w:r>
          <w:rPr>
            <w:webHidden/>
          </w:rPr>
        </w:r>
        <w:r>
          <w:rPr>
            <w:webHidden/>
          </w:rPr>
          <w:fldChar w:fldCharType="separate"/>
        </w:r>
        <w:r>
          <w:rPr>
            <w:webHidden/>
          </w:rPr>
          <w:t>15</w:t>
        </w:r>
        <w:r>
          <w:rPr>
            <w:webHidden/>
          </w:rPr>
          <w:fldChar w:fldCharType="end"/>
        </w:r>
      </w:hyperlink>
    </w:p>
    <w:p w14:paraId="06C0D6F6" w14:textId="76D5A4C2" w:rsidR="00BB2601" w:rsidRDefault="00BB2601">
      <w:pPr>
        <w:pStyle w:val="Sommario1"/>
        <w:rPr>
          <w:rFonts w:cstheme="minorBidi"/>
          <w:bCs w:val="0"/>
          <w:color w:val="auto"/>
          <w:kern w:val="2"/>
          <w:sz w:val="24"/>
          <w:szCs w:val="24"/>
          <w:lang w:eastAsia="it-IT"/>
          <w14:ligatures w14:val="standardContextual"/>
        </w:rPr>
      </w:pPr>
      <w:hyperlink w:anchor="_Toc219808165" w:history="1">
        <w:r w:rsidRPr="00C64DF7">
          <w:rPr>
            <w:rStyle w:val="Collegamentoipertestuale"/>
            <w:rFonts w:ascii="Calibri" w:eastAsiaTheme="majorEastAsia" w:hAnsi="Calibri" w:cs="Times New Roman (Titoli CS)"/>
            <w:b/>
            <w:i/>
            <w:iCs/>
          </w:rPr>
          <w:t>6.3. Equilibri di bilancio</w:t>
        </w:r>
        <w:r>
          <w:rPr>
            <w:webHidden/>
          </w:rPr>
          <w:tab/>
        </w:r>
        <w:r>
          <w:rPr>
            <w:webHidden/>
          </w:rPr>
          <w:fldChar w:fldCharType="begin"/>
        </w:r>
        <w:r>
          <w:rPr>
            <w:webHidden/>
          </w:rPr>
          <w:instrText xml:space="preserve"> PAGEREF _Toc219808165 \h </w:instrText>
        </w:r>
        <w:r>
          <w:rPr>
            <w:webHidden/>
          </w:rPr>
        </w:r>
        <w:r>
          <w:rPr>
            <w:webHidden/>
          </w:rPr>
          <w:fldChar w:fldCharType="separate"/>
        </w:r>
        <w:r>
          <w:rPr>
            <w:webHidden/>
          </w:rPr>
          <w:t>16</w:t>
        </w:r>
        <w:r>
          <w:rPr>
            <w:webHidden/>
          </w:rPr>
          <w:fldChar w:fldCharType="end"/>
        </w:r>
      </w:hyperlink>
    </w:p>
    <w:p w14:paraId="2F033ECF" w14:textId="1CEA2794" w:rsidR="00BB2601" w:rsidRDefault="00BB2601">
      <w:pPr>
        <w:pStyle w:val="Sommario1"/>
        <w:rPr>
          <w:rFonts w:cstheme="minorBidi"/>
          <w:bCs w:val="0"/>
          <w:color w:val="auto"/>
          <w:kern w:val="2"/>
          <w:sz w:val="24"/>
          <w:szCs w:val="24"/>
          <w:lang w:eastAsia="it-IT"/>
          <w14:ligatures w14:val="standardContextual"/>
        </w:rPr>
      </w:pPr>
      <w:hyperlink w:anchor="_Toc219808166" w:history="1">
        <w:r w:rsidRPr="00C64DF7">
          <w:rPr>
            <w:rStyle w:val="Collegamentoipertestuale"/>
            <w:rFonts w:ascii="Calibri" w:eastAsiaTheme="majorEastAsia" w:hAnsi="Calibri" w:cs="Times New Roman (Titoli CS)"/>
            <w:b/>
            <w:i/>
            <w:iCs/>
          </w:rPr>
          <w:t>6.4. Previsioni di cassa</w:t>
        </w:r>
        <w:r>
          <w:rPr>
            <w:webHidden/>
          </w:rPr>
          <w:tab/>
        </w:r>
        <w:r>
          <w:rPr>
            <w:webHidden/>
          </w:rPr>
          <w:fldChar w:fldCharType="begin"/>
        </w:r>
        <w:r>
          <w:rPr>
            <w:webHidden/>
          </w:rPr>
          <w:instrText xml:space="preserve"> PAGEREF _Toc219808166 \h </w:instrText>
        </w:r>
        <w:r>
          <w:rPr>
            <w:webHidden/>
          </w:rPr>
        </w:r>
        <w:r>
          <w:rPr>
            <w:webHidden/>
          </w:rPr>
          <w:fldChar w:fldCharType="separate"/>
        </w:r>
        <w:r>
          <w:rPr>
            <w:webHidden/>
          </w:rPr>
          <w:t>18</w:t>
        </w:r>
        <w:r>
          <w:rPr>
            <w:webHidden/>
          </w:rPr>
          <w:fldChar w:fldCharType="end"/>
        </w:r>
      </w:hyperlink>
    </w:p>
    <w:p w14:paraId="2A8D61D1" w14:textId="53ED489A" w:rsidR="00BB2601" w:rsidRDefault="00BB2601">
      <w:pPr>
        <w:pStyle w:val="Sommario1"/>
        <w:rPr>
          <w:rFonts w:cstheme="minorBidi"/>
          <w:bCs w:val="0"/>
          <w:color w:val="auto"/>
          <w:kern w:val="2"/>
          <w:sz w:val="24"/>
          <w:szCs w:val="24"/>
          <w:lang w:eastAsia="it-IT"/>
          <w14:ligatures w14:val="standardContextual"/>
        </w:rPr>
      </w:pPr>
      <w:hyperlink w:anchor="_Toc219808167" w:history="1">
        <w:r w:rsidRPr="00C64DF7">
          <w:rPr>
            <w:rStyle w:val="Collegamentoipertestuale"/>
            <w:rFonts w:ascii="Calibri" w:eastAsiaTheme="majorEastAsia" w:hAnsi="Calibri" w:cs="Times New Roman (Titoli CS)"/>
            <w:b/>
            <w:i/>
            <w:iCs/>
          </w:rPr>
          <w:t>6.5. Utilizzo proventi alienazioni</w:t>
        </w:r>
        <w:r>
          <w:rPr>
            <w:webHidden/>
          </w:rPr>
          <w:tab/>
        </w:r>
        <w:r>
          <w:rPr>
            <w:webHidden/>
          </w:rPr>
          <w:fldChar w:fldCharType="begin"/>
        </w:r>
        <w:r>
          <w:rPr>
            <w:webHidden/>
          </w:rPr>
          <w:instrText xml:space="preserve"> PAGEREF _Toc219808167 \h </w:instrText>
        </w:r>
        <w:r>
          <w:rPr>
            <w:webHidden/>
          </w:rPr>
        </w:r>
        <w:r>
          <w:rPr>
            <w:webHidden/>
          </w:rPr>
          <w:fldChar w:fldCharType="separate"/>
        </w:r>
        <w:r>
          <w:rPr>
            <w:webHidden/>
          </w:rPr>
          <w:t>20</w:t>
        </w:r>
        <w:r>
          <w:rPr>
            <w:webHidden/>
          </w:rPr>
          <w:fldChar w:fldCharType="end"/>
        </w:r>
      </w:hyperlink>
    </w:p>
    <w:p w14:paraId="0CEE67DE" w14:textId="1A7C336F" w:rsidR="00BB2601" w:rsidRDefault="00BB2601">
      <w:pPr>
        <w:pStyle w:val="Sommario1"/>
        <w:rPr>
          <w:rFonts w:cstheme="minorBidi"/>
          <w:bCs w:val="0"/>
          <w:color w:val="auto"/>
          <w:kern w:val="2"/>
          <w:sz w:val="24"/>
          <w:szCs w:val="24"/>
          <w:lang w:eastAsia="it-IT"/>
          <w14:ligatures w14:val="standardContextual"/>
        </w:rPr>
      </w:pPr>
      <w:hyperlink w:anchor="_Toc219808168" w:history="1">
        <w:r w:rsidRPr="00C64DF7">
          <w:rPr>
            <w:rStyle w:val="Collegamentoipertestuale"/>
            <w:rFonts w:ascii="Calibri" w:eastAsiaTheme="majorEastAsia" w:hAnsi="Calibri" w:cs="Times New Roman (Titoli CS)"/>
            <w:b/>
            <w:i/>
            <w:iCs/>
          </w:rPr>
          <w:t>6.6. Risorse derivanti da rinegoziazione mutui</w:t>
        </w:r>
        <w:r>
          <w:rPr>
            <w:webHidden/>
          </w:rPr>
          <w:tab/>
        </w:r>
        <w:r>
          <w:rPr>
            <w:webHidden/>
          </w:rPr>
          <w:fldChar w:fldCharType="begin"/>
        </w:r>
        <w:r>
          <w:rPr>
            <w:webHidden/>
          </w:rPr>
          <w:instrText xml:space="preserve"> PAGEREF _Toc219808168 \h </w:instrText>
        </w:r>
        <w:r>
          <w:rPr>
            <w:webHidden/>
          </w:rPr>
        </w:r>
        <w:r>
          <w:rPr>
            <w:webHidden/>
          </w:rPr>
          <w:fldChar w:fldCharType="separate"/>
        </w:r>
        <w:r>
          <w:rPr>
            <w:webHidden/>
          </w:rPr>
          <w:t>21</w:t>
        </w:r>
        <w:r>
          <w:rPr>
            <w:webHidden/>
          </w:rPr>
          <w:fldChar w:fldCharType="end"/>
        </w:r>
      </w:hyperlink>
    </w:p>
    <w:p w14:paraId="31137A6E" w14:textId="58C1FFF9" w:rsidR="00BB2601" w:rsidRDefault="00BB2601">
      <w:pPr>
        <w:pStyle w:val="Sommario1"/>
        <w:rPr>
          <w:rFonts w:cstheme="minorBidi"/>
          <w:bCs w:val="0"/>
          <w:color w:val="auto"/>
          <w:kern w:val="2"/>
          <w:sz w:val="24"/>
          <w:szCs w:val="24"/>
          <w:lang w:eastAsia="it-IT"/>
          <w14:ligatures w14:val="standardContextual"/>
        </w:rPr>
      </w:pPr>
      <w:hyperlink w:anchor="_Toc219808169" w:history="1">
        <w:r w:rsidRPr="00C64DF7">
          <w:rPr>
            <w:rStyle w:val="Collegamentoipertestuale"/>
            <w:rFonts w:ascii="Calibri" w:eastAsiaTheme="majorEastAsia" w:hAnsi="Calibri" w:cs="Times New Roman (Titoli CS)"/>
            <w:b/>
            <w:i/>
            <w:iCs/>
          </w:rPr>
          <w:t>6.7. Entrate e spese di carattere non ripetitivo</w:t>
        </w:r>
        <w:r>
          <w:rPr>
            <w:webHidden/>
          </w:rPr>
          <w:tab/>
        </w:r>
        <w:r>
          <w:rPr>
            <w:webHidden/>
          </w:rPr>
          <w:fldChar w:fldCharType="begin"/>
        </w:r>
        <w:r>
          <w:rPr>
            <w:webHidden/>
          </w:rPr>
          <w:instrText xml:space="preserve"> PAGEREF _Toc219808169 \h </w:instrText>
        </w:r>
        <w:r>
          <w:rPr>
            <w:webHidden/>
          </w:rPr>
        </w:r>
        <w:r>
          <w:rPr>
            <w:webHidden/>
          </w:rPr>
          <w:fldChar w:fldCharType="separate"/>
        </w:r>
        <w:r>
          <w:rPr>
            <w:webHidden/>
          </w:rPr>
          <w:t>21</w:t>
        </w:r>
        <w:r>
          <w:rPr>
            <w:webHidden/>
          </w:rPr>
          <w:fldChar w:fldCharType="end"/>
        </w:r>
      </w:hyperlink>
    </w:p>
    <w:p w14:paraId="534C8C13" w14:textId="1A01E432" w:rsidR="00BB2601" w:rsidRDefault="00BB2601">
      <w:pPr>
        <w:pStyle w:val="Sommario1"/>
        <w:rPr>
          <w:rFonts w:cstheme="minorBidi"/>
          <w:bCs w:val="0"/>
          <w:color w:val="auto"/>
          <w:kern w:val="2"/>
          <w:sz w:val="24"/>
          <w:szCs w:val="24"/>
          <w:lang w:eastAsia="it-IT"/>
          <w14:ligatures w14:val="standardContextual"/>
        </w:rPr>
      </w:pPr>
      <w:hyperlink w:anchor="_Toc219808170" w:history="1">
        <w:r w:rsidRPr="00C64DF7">
          <w:rPr>
            <w:rStyle w:val="Collegamentoipertestuale"/>
            <w:rFonts w:ascii="Calibri" w:eastAsiaTheme="majorEastAsia" w:hAnsi="Calibri" w:cs="Times New Roman (Titoli CS)"/>
            <w:b/>
            <w:i/>
            <w:iCs/>
          </w:rPr>
          <w:t>6.8. Nota integrativa</w:t>
        </w:r>
        <w:r>
          <w:rPr>
            <w:webHidden/>
          </w:rPr>
          <w:tab/>
        </w:r>
        <w:r>
          <w:rPr>
            <w:webHidden/>
          </w:rPr>
          <w:fldChar w:fldCharType="begin"/>
        </w:r>
        <w:r>
          <w:rPr>
            <w:webHidden/>
          </w:rPr>
          <w:instrText xml:space="preserve"> PAGEREF _Toc219808170 \h </w:instrText>
        </w:r>
        <w:r>
          <w:rPr>
            <w:webHidden/>
          </w:rPr>
        </w:r>
        <w:r>
          <w:rPr>
            <w:webHidden/>
          </w:rPr>
          <w:fldChar w:fldCharType="separate"/>
        </w:r>
        <w:r>
          <w:rPr>
            <w:webHidden/>
          </w:rPr>
          <w:t>21</w:t>
        </w:r>
        <w:r>
          <w:rPr>
            <w:webHidden/>
          </w:rPr>
          <w:fldChar w:fldCharType="end"/>
        </w:r>
      </w:hyperlink>
    </w:p>
    <w:p w14:paraId="3AA6A4FF" w14:textId="61120DE6" w:rsidR="00BB2601" w:rsidRDefault="00BB2601">
      <w:pPr>
        <w:pStyle w:val="Sommario1"/>
        <w:rPr>
          <w:rFonts w:cstheme="minorBidi"/>
          <w:bCs w:val="0"/>
          <w:color w:val="auto"/>
          <w:kern w:val="2"/>
          <w:sz w:val="24"/>
          <w:szCs w:val="24"/>
          <w:lang w:eastAsia="it-IT"/>
          <w14:ligatures w14:val="standardContextual"/>
        </w:rPr>
      </w:pPr>
      <w:hyperlink w:anchor="_Toc219808171" w:history="1">
        <w:r w:rsidRPr="00C64DF7">
          <w:rPr>
            <w:rStyle w:val="Collegamentoipertestuale"/>
            <w:rFonts w:ascii="Calibri" w:eastAsiaTheme="majorEastAsia" w:hAnsi="Calibri" w:cs="Times New Roman (Titoli CS)"/>
            <w:b/>
            <w:i/>
            <w:iCs/>
          </w:rPr>
          <w:t>6.9. Conguagli Fondi Covid-19</w:t>
        </w:r>
        <w:r>
          <w:rPr>
            <w:webHidden/>
          </w:rPr>
          <w:tab/>
        </w:r>
        <w:r>
          <w:rPr>
            <w:webHidden/>
          </w:rPr>
          <w:fldChar w:fldCharType="begin"/>
        </w:r>
        <w:r>
          <w:rPr>
            <w:webHidden/>
          </w:rPr>
          <w:instrText xml:space="preserve"> PAGEREF _Toc219808171 \h </w:instrText>
        </w:r>
        <w:r>
          <w:rPr>
            <w:webHidden/>
          </w:rPr>
        </w:r>
        <w:r>
          <w:rPr>
            <w:webHidden/>
          </w:rPr>
          <w:fldChar w:fldCharType="separate"/>
        </w:r>
        <w:r>
          <w:rPr>
            <w:webHidden/>
          </w:rPr>
          <w:t>21</w:t>
        </w:r>
        <w:r>
          <w:rPr>
            <w:webHidden/>
          </w:rPr>
          <w:fldChar w:fldCharType="end"/>
        </w:r>
      </w:hyperlink>
    </w:p>
    <w:p w14:paraId="26149A4A" w14:textId="41CF3711" w:rsidR="00BB2601" w:rsidRDefault="00BB2601">
      <w:pPr>
        <w:pStyle w:val="Sommario1"/>
        <w:rPr>
          <w:rFonts w:cstheme="minorBidi"/>
          <w:bCs w:val="0"/>
          <w:color w:val="auto"/>
          <w:kern w:val="2"/>
          <w:sz w:val="24"/>
          <w:szCs w:val="24"/>
          <w:lang w:eastAsia="it-IT"/>
          <w14:ligatures w14:val="standardContextual"/>
        </w:rPr>
      </w:pPr>
      <w:hyperlink w:anchor="_Toc219808172" w:history="1">
        <w:r w:rsidRPr="00C64DF7">
          <w:rPr>
            <w:rStyle w:val="Collegamentoipertestuale"/>
          </w:rPr>
          <w:t>7. VERIFICA ATTENDIBILITA’ E CONGRUITA’ DELLE PREVISIONI</w:t>
        </w:r>
        <w:r>
          <w:rPr>
            <w:webHidden/>
          </w:rPr>
          <w:tab/>
        </w:r>
        <w:r>
          <w:rPr>
            <w:webHidden/>
          </w:rPr>
          <w:fldChar w:fldCharType="begin"/>
        </w:r>
        <w:r>
          <w:rPr>
            <w:webHidden/>
          </w:rPr>
          <w:instrText xml:space="preserve"> PAGEREF _Toc219808172 \h </w:instrText>
        </w:r>
        <w:r>
          <w:rPr>
            <w:webHidden/>
          </w:rPr>
        </w:r>
        <w:r>
          <w:rPr>
            <w:webHidden/>
          </w:rPr>
          <w:fldChar w:fldCharType="separate"/>
        </w:r>
        <w:r>
          <w:rPr>
            <w:webHidden/>
          </w:rPr>
          <w:t>22</w:t>
        </w:r>
        <w:r>
          <w:rPr>
            <w:webHidden/>
          </w:rPr>
          <w:fldChar w:fldCharType="end"/>
        </w:r>
      </w:hyperlink>
    </w:p>
    <w:p w14:paraId="7F6FBF94" w14:textId="690B28A4" w:rsidR="00BB2601" w:rsidRDefault="00BB2601">
      <w:pPr>
        <w:pStyle w:val="Sommario1"/>
        <w:rPr>
          <w:rFonts w:cstheme="minorBidi"/>
          <w:bCs w:val="0"/>
          <w:color w:val="auto"/>
          <w:kern w:val="2"/>
          <w:sz w:val="24"/>
          <w:szCs w:val="24"/>
          <w:lang w:eastAsia="it-IT"/>
          <w14:ligatures w14:val="standardContextual"/>
        </w:rPr>
      </w:pPr>
      <w:hyperlink w:anchor="_Toc219808173" w:history="1">
        <w:r w:rsidRPr="00C64DF7">
          <w:rPr>
            <w:rStyle w:val="Collegamentoipertestuale"/>
            <w:rFonts w:ascii="Calibri" w:eastAsiaTheme="majorEastAsia" w:hAnsi="Calibri" w:cs="Times New Roman (Titoli CS)"/>
            <w:b/>
            <w:i/>
            <w:iCs/>
          </w:rPr>
          <w:t>7.1 Entrate</w:t>
        </w:r>
        <w:r>
          <w:rPr>
            <w:webHidden/>
          </w:rPr>
          <w:tab/>
        </w:r>
        <w:r>
          <w:rPr>
            <w:webHidden/>
          </w:rPr>
          <w:fldChar w:fldCharType="begin"/>
        </w:r>
        <w:r>
          <w:rPr>
            <w:webHidden/>
          </w:rPr>
          <w:instrText xml:space="preserve"> PAGEREF _Toc219808173 \h </w:instrText>
        </w:r>
        <w:r>
          <w:rPr>
            <w:webHidden/>
          </w:rPr>
        </w:r>
        <w:r>
          <w:rPr>
            <w:webHidden/>
          </w:rPr>
          <w:fldChar w:fldCharType="separate"/>
        </w:r>
        <w:r>
          <w:rPr>
            <w:webHidden/>
          </w:rPr>
          <w:t>22</w:t>
        </w:r>
        <w:r>
          <w:rPr>
            <w:webHidden/>
          </w:rPr>
          <w:fldChar w:fldCharType="end"/>
        </w:r>
      </w:hyperlink>
    </w:p>
    <w:p w14:paraId="7D158188" w14:textId="1694FFDF" w:rsidR="00BB2601" w:rsidRDefault="00BB2601">
      <w:pPr>
        <w:pStyle w:val="Sommario1"/>
        <w:rPr>
          <w:rFonts w:cstheme="minorBidi"/>
          <w:bCs w:val="0"/>
          <w:color w:val="auto"/>
          <w:kern w:val="2"/>
          <w:sz w:val="24"/>
          <w:szCs w:val="24"/>
          <w:lang w:eastAsia="it-IT"/>
          <w14:ligatures w14:val="standardContextual"/>
        </w:rPr>
      </w:pPr>
      <w:hyperlink w:anchor="_Toc219808174" w:history="1">
        <w:r w:rsidRPr="00C64DF7">
          <w:rPr>
            <w:rStyle w:val="Collegamentoipertestuale"/>
            <w:rFonts w:ascii="Calibri" w:eastAsiaTheme="majorEastAsia" w:hAnsi="Calibri" w:cs="Times New Roman (Titoli CS)"/>
            <w:b/>
            <w:i/>
            <w:iCs/>
          </w:rPr>
          <w:t>7.2 Spese per titoli e macro aggregati</w:t>
        </w:r>
        <w:r>
          <w:rPr>
            <w:webHidden/>
          </w:rPr>
          <w:tab/>
        </w:r>
        <w:r>
          <w:rPr>
            <w:webHidden/>
          </w:rPr>
          <w:fldChar w:fldCharType="begin"/>
        </w:r>
        <w:r>
          <w:rPr>
            <w:webHidden/>
          </w:rPr>
          <w:instrText xml:space="preserve"> PAGEREF _Toc219808174 \h </w:instrText>
        </w:r>
        <w:r>
          <w:rPr>
            <w:webHidden/>
          </w:rPr>
        </w:r>
        <w:r>
          <w:rPr>
            <w:webHidden/>
          </w:rPr>
          <w:fldChar w:fldCharType="separate"/>
        </w:r>
        <w:r>
          <w:rPr>
            <w:webHidden/>
          </w:rPr>
          <w:t>29</w:t>
        </w:r>
        <w:r>
          <w:rPr>
            <w:webHidden/>
          </w:rPr>
          <w:fldChar w:fldCharType="end"/>
        </w:r>
      </w:hyperlink>
    </w:p>
    <w:p w14:paraId="3D17267B" w14:textId="4F93AA15" w:rsidR="00BB2601" w:rsidRDefault="00BB2601">
      <w:pPr>
        <w:pStyle w:val="Sommario1"/>
        <w:rPr>
          <w:rFonts w:cstheme="minorBidi"/>
          <w:bCs w:val="0"/>
          <w:color w:val="auto"/>
          <w:kern w:val="2"/>
          <w:sz w:val="24"/>
          <w:szCs w:val="24"/>
          <w:lang w:eastAsia="it-IT"/>
          <w14:ligatures w14:val="standardContextual"/>
        </w:rPr>
      </w:pPr>
      <w:hyperlink w:anchor="_Toc219808175" w:history="1">
        <w:r w:rsidRPr="00C64DF7">
          <w:rPr>
            <w:rStyle w:val="Collegamentoipertestuale"/>
            <w:rFonts w:cstheme="minorHAnsi"/>
            <w:b/>
            <w:i/>
            <w:iCs/>
          </w:rPr>
          <w:t>7.3 Spending review</w:t>
        </w:r>
        <w:r>
          <w:rPr>
            <w:webHidden/>
          </w:rPr>
          <w:tab/>
        </w:r>
        <w:r>
          <w:rPr>
            <w:webHidden/>
          </w:rPr>
          <w:fldChar w:fldCharType="begin"/>
        </w:r>
        <w:r>
          <w:rPr>
            <w:webHidden/>
          </w:rPr>
          <w:instrText xml:space="preserve"> PAGEREF _Toc219808175 \h </w:instrText>
        </w:r>
        <w:r>
          <w:rPr>
            <w:webHidden/>
          </w:rPr>
        </w:r>
        <w:r>
          <w:rPr>
            <w:webHidden/>
          </w:rPr>
          <w:fldChar w:fldCharType="separate"/>
        </w:r>
        <w:r>
          <w:rPr>
            <w:webHidden/>
          </w:rPr>
          <w:t>31</w:t>
        </w:r>
        <w:r>
          <w:rPr>
            <w:webHidden/>
          </w:rPr>
          <w:fldChar w:fldCharType="end"/>
        </w:r>
      </w:hyperlink>
    </w:p>
    <w:p w14:paraId="3C2C2210" w14:textId="252F6AC9" w:rsidR="00BB2601" w:rsidRDefault="00BB2601">
      <w:pPr>
        <w:pStyle w:val="Sommario1"/>
        <w:rPr>
          <w:rFonts w:cstheme="minorBidi"/>
          <w:bCs w:val="0"/>
          <w:color w:val="auto"/>
          <w:kern w:val="2"/>
          <w:sz w:val="24"/>
          <w:szCs w:val="24"/>
          <w:lang w:eastAsia="it-IT"/>
          <w14:ligatures w14:val="standardContextual"/>
        </w:rPr>
      </w:pPr>
      <w:hyperlink w:anchor="_Toc219808176" w:history="1">
        <w:r w:rsidRPr="00C64DF7">
          <w:rPr>
            <w:rStyle w:val="Collegamentoipertestuale"/>
            <w:i/>
            <w:iCs/>
          </w:rPr>
          <w:t>7.4. Spese in conto capitale</w:t>
        </w:r>
        <w:r>
          <w:rPr>
            <w:webHidden/>
          </w:rPr>
          <w:tab/>
        </w:r>
        <w:r>
          <w:rPr>
            <w:webHidden/>
          </w:rPr>
          <w:fldChar w:fldCharType="begin"/>
        </w:r>
        <w:r>
          <w:rPr>
            <w:webHidden/>
          </w:rPr>
          <w:instrText xml:space="preserve"> PAGEREF _Toc219808176 \h </w:instrText>
        </w:r>
        <w:r>
          <w:rPr>
            <w:webHidden/>
          </w:rPr>
        </w:r>
        <w:r>
          <w:rPr>
            <w:webHidden/>
          </w:rPr>
          <w:fldChar w:fldCharType="separate"/>
        </w:r>
        <w:r>
          <w:rPr>
            <w:webHidden/>
          </w:rPr>
          <w:t>32</w:t>
        </w:r>
        <w:r>
          <w:rPr>
            <w:webHidden/>
          </w:rPr>
          <w:fldChar w:fldCharType="end"/>
        </w:r>
      </w:hyperlink>
    </w:p>
    <w:p w14:paraId="04239070" w14:textId="20C341E0" w:rsidR="00BB2601" w:rsidRDefault="00BB2601">
      <w:pPr>
        <w:pStyle w:val="Sommario1"/>
        <w:rPr>
          <w:rFonts w:cstheme="minorBidi"/>
          <w:bCs w:val="0"/>
          <w:color w:val="auto"/>
          <w:kern w:val="2"/>
          <w:sz w:val="24"/>
          <w:szCs w:val="24"/>
          <w:lang w:eastAsia="it-IT"/>
          <w14:ligatures w14:val="standardContextual"/>
        </w:rPr>
      </w:pPr>
      <w:hyperlink w:anchor="_Toc219808177" w:history="1">
        <w:r w:rsidRPr="00C64DF7">
          <w:rPr>
            <w:rStyle w:val="Collegamentoipertestuale"/>
          </w:rPr>
          <w:t>8. FONDI E ACCANTONAMENTI</w:t>
        </w:r>
        <w:r>
          <w:rPr>
            <w:webHidden/>
          </w:rPr>
          <w:tab/>
        </w:r>
        <w:r>
          <w:rPr>
            <w:webHidden/>
          </w:rPr>
          <w:fldChar w:fldCharType="begin"/>
        </w:r>
        <w:r>
          <w:rPr>
            <w:webHidden/>
          </w:rPr>
          <w:instrText xml:space="preserve"> PAGEREF _Toc219808177 \h </w:instrText>
        </w:r>
        <w:r>
          <w:rPr>
            <w:webHidden/>
          </w:rPr>
        </w:r>
        <w:r>
          <w:rPr>
            <w:webHidden/>
          </w:rPr>
          <w:fldChar w:fldCharType="separate"/>
        </w:r>
        <w:r>
          <w:rPr>
            <w:webHidden/>
          </w:rPr>
          <w:t>33</w:t>
        </w:r>
        <w:r>
          <w:rPr>
            <w:webHidden/>
          </w:rPr>
          <w:fldChar w:fldCharType="end"/>
        </w:r>
      </w:hyperlink>
    </w:p>
    <w:p w14:paraId="6368DD3F" w14:textId="3CE2C5E1" w:rsidR="00BB2601" w:rsidRDefault="00BB2601">
      <w:pPr>
        <w:pStyle w:val="Sommario1"/>
        <w:rPr>
          <w:rFonts w:cstheme="minorBidi"/>
          <w:bCs w:val="0"/>
          <w:color w:val="auto"/>
          <w:kern w:val="2"/>
          <w:sz w:val="24"/>
          <w:szCs w:val="24"/>
          <w:lang w:eastAsia="it-IT"/>
          <w14:ligatures w14:val="standardContextual"/>
        </w:rPr>
      </w:pPr>
      <w:hyperlink w:anchor="_Toc219808178" w:history="1">
        <w:r w:rsidRPr="00C64DF7">
          <w:rPr>
            <w:rStyle w:val="Collegamentoipertestuale"/>
            <w:rFonts w:ascii="Calibri" w:eastAsiaTheme="majorEastAsia" w:hAnsi="Calibri" w:cs="Times New Roman (Titoli CS)"/>
            <w:b/>
            <w:i/>
            <w:iCs/>
          </w:rPr>
          <w:t>8.1. Fondo di riserva di competenza</w:t>
        </w:r>
        <w:r>
          <w:rPr>
            <w:webHidden/>
          </w:rPr>
          <w:tab/>
        </w:r>
        <w:r>
          <w:rPr>
            <w:webHidden/>
          </w:rPr>
          <w:fldChar w:fldCharType="begin"/>
        </w:r>
        <w:r>
          <w:rPr>
            <w:webHidden/>
          </w:rPr>
          <w:instrText xml:space="preserve"> PAGEREF _Toc219808178 \h </w:instrText>
        </w:r>
        <w:r>
          <w:rPr>
            <w:webHidden/>
          </w:rPr>
        </w:r>
        <w:r>
          <w:rPr>
            <w:webHidden/>
          </w:rPr>
          <w:fldChar w:fldCharType="separate"/>
        </w:r>
        <w:r>
          <w:rPr>
            <w:webHidden/>
          </w:rPr>
          <w:t>33</w:t>
        </w:r>
        <w:r>
          <w:rPr>
            <w:webHidden/>
          </w:rPr>
          <w:fldChar w:fldCharType="end"/>
        </w:r>
      </w:hyperlink>
    </w:p>
    <w:p w14:paraId="48FC9B71" w14:textId="17F1E65F" w:rsidR="00BB2601" w:rsidRDefault="00BB2601">
      <w:pPr>
        <w:pStyle w:val="Sommario1"/>
        <w:rPr>
          <w:rFonts w:cstheme="minorBidi"/>
          <w:bCs w:val="0"/>
          <w:color w:val="auto"/>
          <w:kern w:val="2"/>
          <w:sz w:val="24"/>
          <w:szCs w:val="24"/>
          <w:lang w:eastAsia="it-IT"/>
          <w14:ligatures w14:val="standardContextual"/>
        </w:rPr>
      </w:pPr>
      <w:hyperlink w:anchor="_Toc219808179" w:history="1">
        <w:r w:rsidRPr="00C64DF7">
          <w:rPr>
            <w:rStyle w:val="Collegamentoipertestuale"/>
            <w:rFonts w:ascii="Calibri" w:eastAsiaTheme="majorEastAsia" w:hAnsi="Calibri" w:cs="Times New Roman (Titoli CS)"/>
            <w:b/>
            <w:i/>
            <w:iCs/>
          </w:rPr>
          <w:t>8.2. Fondo di riserva di cassa</w:t>
        </w:r>
        <w:r>
          <w:rPr>
            <w:webHidden/>
          </w:rPr>
          <w:tab/>
        </w:r>
        <w:r>
          <w:rPr>
            <w:webHidden/>
          </w:rPr>
          <w:fldChar w:fldCharType="begin"/>
        </w:r>
        <w:r>
          <w:rPr>
            <w:webHidden/>
          </w:rPr>
          <w:instrText xml:space="preserve"> PAGEREF _Toc219808179 \h </w:instrText>
        </w:r>
        <w:r>
          <w:rPr>
            <w:webHidden/>
          </w:rPr>
        </w:r>
        <w:r>
          <w:rPr>
            <w:webHidden/>
          </w:rPr>
          <w:fldChar w:fldCharType="separate"/>
        </w:r>
        <w:r>
          <w:rPr>
            <w:webHidden/>
          </w:rPr>
          <w:t>33</w:t>
        </w:r>
        <w:r>
          <w:rPr>
            <w:webHidden/>
          </w:rPr>
          <w:fldChar w:fldCharType="end"/>
        </w:r>
      </w:hyperlink>
    </w:p>
    <w:p w14:paraId="1DE42AED" w14:textId="75643436" w:rsidR="00BB2601" w:rsidRDefault="00BB2601">
      <w:pPr>
        <w:pStyle w:val="Sommario1"/>
        <w:rPr>
          <w:rFonts w:cstheme="minorBidi"/>
          <w:bCs w:val="0"/>
          <w:color w:val="auto"/>
          <w:kern w:val="2"/>
          <w:sz w:val="24"/>
          <w:szCs w:val="24"/>
          <w:lang w:eastAsia="it-IT"/>
          <w14:ligatures w14:val="standardContextual"/>
        </w:rPr>
      </w:pPr>
      <w:hyperlink w:anchor="_Toc219808180" w:history="1">
        <w:r w:rsidRPr="00C64DF7">
          <w:rPr>
            <w:rStyle w:val="Collegamentoipertestuale"/>
            <w:rFonts w:ascii="Calibri" w:eastAsiaTheme="majorEastAsia" w:hAnsi="Calibri" w:cs="Times New Roman (Titoli CS)"/>
            <w:b/>
            <w:i/>
            <w:iCs/>
          </w:rPr>
          <w:t>8.3. Fondo crediti di dubbia esigibilità (FCDE)</w:t>
        </w:r>
        <w:r>
          <w:rPr>
            <w:webHidden/>
          </w:rPr>
          <w:tab/>
        </w:r>
        <w:r>
          <w:rPr>
            <w:webHidden/>
          </w:rPr>
          <w:fldChar w:fldCharType="begin"/>
        </w:r>
        <w:r>
          <w:rPr>
            <w:webHidden/>
          </w:rPr>
          <w:instrText xml:space="preserve"> PAGEREF _Toc219808180 \h </w:instrText>
        </w:r>
        <w:r>
          <w:rPr>
            <w:webHidden/>
          </w:rPr>
        </w:r>
        <w:r>
          <w:rPr>
            <w:webHidden/>
          </w:rPr>
          <w:fldChar w:fldCharType="separate"/>
        </w:r>
        <w:r>
          <w:rPr>
            <w:webHidden/>
          </w:rPr>
          <w:t>34</w:t>
        </w:r>
        <w:r>
          <w:rPr>
            <w:webHidden/>
          </w:rPr>
          <w:fldChar w:fldCharType="end"/>
        </w:r>
      </w:hyperlink>
    </w:p>
    <w:p w14:paraId="554F76A6" w14:textId="043C8575" w:rsidR="00BB2601" w:rsidRDefault="00BB2601">
      <w:pPr>
        <w:pStyle w:val="Sommario1"/>
        <w:rPr>
          <w:rFonts w:cstheme="minorBidi"/>
          <w:bCs w:val="0"/>
          <w:color w:val="auto"/>
          <w:kern w:val="2"/>
          <w:sz w:val="24"/>
          <w:szCs w:val="24"/>
          <w:lang w:eastAsia="it-IT"/>
          <w14:ligatures w14:val="standardContextual"/>
        </w:rPr>
      </w:pPr>
      <w:hyperlink w:anchor="_Toc219808181" w:history="1">
        <w:r w:rsidRPr="00C64DF7">
          <w:rPr>
            <w:rStyle w:val="Collegamentoipertestuale"/>
            <w:rFonts w:ascii="Calibri" w:eastAsiaTheme="majorEastAsia" w:hAnsi="Calibri" w:cs="Times New Roman (Titoli CS)"/>
            <w:b/>
            <w:i/>
            <w:iCs/>
          </w:rPr>
          <w:t>8.4. Fondi per spese potenziali</w:t>
        </w:r>
        <w:r>
          <w:rPr>
            <w:webHidden/>
          </w:rPr>
          <w:tab/>
        </w:r>
        <w:r>
          <w:rPr>
            <w:webHidden/>
          </w:rPr>
          <w:fldChar w:fldCharType="begin"/>
        </w:r>
        <w:r>
          <w:rPr>
            <w:webHidden/>
          </w:rPr>
          <w:instrText xml:space="preserve"> PAGEREF _Toc219808181 \h </w:instrText>
        </w:r>
        <w:r>
          <w:rPr>
            <w:webHidden/>
          </w:rPr>
        </w:r>
        <w:r>
          <w:rPr>
            <w:webHidden/>
          </w:rPr>
          <w:fldChar w:fldCharType="separate"/>
        </w:r>
        <w:r>
          <w:rPr>
            <w:webHidden/>
          </w:rPr>
          <w:t>35</w:t>
        </w:r>
        <w:r>
          <w:rPr>
            <w:webHidden/>
          </w:rPr>
          <w:fldChar w:fldCharType="end"/>
        </w:r>
      </w:hyperlink>
    </w:p>
    <w:p w14:paraId="6487B31E" w14:textId="2BAB8D21" w:rsidR="00BB2601" w:rsidRDefault="00BB2601">
      <w:pPr>
        <w:pStyle w:val="Sommario1"/>
        <w:rPr>
          <w:rFonts w:cstheme="minorBidi"/>
          <w:bCs w:val="0"/>
          <w:color w:val="auto"/>
          <w:kern w:val="2"/>
          <w:sz w:val="24"/>
          <w:szCs w:val="24"/>
          <w:lang w:eastAsia="it-IT"/>
          <w14:ligatures w14:val="standardContextual"/>
        </w:rPr>
      </w:pPr>
      <w:hyperlink w:anchor="_Toc219808182" w:history="1">
        <w:r w:rsidRPr="00C64DF7">
          <w:rPr>
            <w:rStyle w:val="Collegamentoipertestuale"/>
            <w:rFonts w:ascii="Calibri" w:eastAsiaTheme="majorEastAsia" w:hAnsi="Calibri" w:cs="Times New Roman (Titoli CS)"/>
            <w:b/>
            <w:i/>
            <w:iCs/>
          </w:rPr>
          <w:t>8.5. Fondo garanzia debiti commerciali</w:t>
        </w:r>
        <w:r>
          <w:rPr>
            <w:webHidden/>
          </w:rPr>
          <w:tab/>
        </w:r>
        <w:r>
          <w:rPr>
            <w:webHidden/>
          </w:rPr>
          <w:fldChar w:fldCharType="begin"/>
        </w:r>
        <w:r>
          <w:rPr>
            <w:webHidden/>
          </w:rPr>
          <w:instrText xml:space="preserve"> PAGEREF _Toc219808182 \h </w:instrText>
        </w:r>
        <w:r>
          <w:rPr>
            <w:webHidden/>
          </w:rPr>
        </w:r>
        <w:r>
          <w:rPr>
            <w:webHidden/>
          </w:rPr>
          <w:fldChar w:fldCharType="separate"/>
        </w:r>
        <w:r>
          <w:rPr>
            <w:webHidden/>
          </w:rPr>
          <w:t>36</w:t>
        </w:r>
        <w:r>
          <w:rPr>
            <w:webHidden/>
          </w:rPr>
          <w:fldChar w:fldCharType="end"/>
        </w:r>
      </w:hyperlink>
    </w:p>
    <w:p w14:paraId="44EF668E" w14:textId="356E0EC5" w:rsidR="00BB2601" w:rsidRDefault="00BB2601">
      <w:pPr>
        <w:pStyle w:val="Sommario1"/>
        <w:rPr>
          <w:rFonts w:cstheme="minorBidi"/>
          <w:bCs w:val="0"/>
          <w:color w:val="auto"/>
          <w:kern w:val="2"/>
          <w:sz w:val="24"/>
          <w:szCs w:val="24"/>
          <w:lang w:eastAsia="it-IT"/>
          <w14:ligatures w14:val="standardContextual"/>
        </w:rPr>
      </w:pPr>
      <w:hyperlink w:anchor="_Toc219808183" w:history="1">
        <w:r w:rsidRPr="00C64DF7">
          <w:rPr>
            <w:rStyle w:val="Collegamentoipertestuale"/>
            <w:rFonts w:ascii="Calibri" w:eastAsiaTheme="majorEastAsia" w:hAnsi="Calibri" w:cs="Times New Roman (Titoli CS)"/>
            <w:b/>
            <w:i/>
            <w:iCs/>
          </w:rPr>
          <w:t>8.6. Fondo “obiettivi di finanza pubblica”</w:t>
        </w:r>
        <w:r>
          <w:rPr>
            <w:webHidden/>
          </w:rPr>
          <w:tab/>
        </w:r>
        <w:r>
          <w:rPr>
            <w:webHidden/>
          </w:rPr>
          <w:fldChar w:fldCharType="begin"/>
        </w:r>
        <w:r>
          <w:rPr>
            <w:webHidden/>
          </w:rPr>
          <w:instrText xml:space="preserve"> PAGEREF _Toc219808183 \h </w:instrText>
        </w:r>
        <w:r>
          <w:rPr>
            <w:webHidden/>
          </w:rPr>
        </w:r>
        <w:r>
          <w:rPr>
            <w:webHidden/>
          </w:rPr>
          <w:fldChar w:fldCharType="separate"/>
        </w:r>
        <w:r>
          <w:rPr>
            <w:webHidden/>
          </w:rPr>
          <w:t>37</w:t>
        </w:r>
        <w:r>
          <w:rPr>
            <w:webHidden/>
          </w:rPr>
          <w:fldChar w:fldCharType="end"/>
        </w:r>
      </w:hyperlink>
    </w:p>
    <w:p w14:paraId="2F3E3B91" w14:textId="69206B0A" w:rsidR="00BB2601" w:rsidRDefault="00BB2601">
      <w:pPr>
        <w:pStyle w:val="Sommario1"/>
        <w:rPr>
          <w:rFonts w:cstheme="minorBidi"/>
          <w:bCs w:val="0"/>
          <w:color w:val="auto"/>
          <w:kern w:val="2"/>
          <w:sz w:val="24"/>
          <w:szCs w:val="24"/>
          <w:lang w:eastAsia="it-IT"/>
          <w14:ligatures w14:val="standardContextual"/>
        </w:rPr>
      </w:pPr>
      <w:hyperlink w:anchor="_Toc219808184" w:history="1">
        <w:r w:rsidRPr="00C64DF7">
          <w:rPr>
            <w:rStyle w:val="Collegamentoipertestuale"/>
          </w:rPr>
          <w:t>9. INDEBITAMENTO</w:t>
        </w:r>
        <w:r>
          <w:rPr>
            <w:webHidden/>
          </w:rPr>
          <w:tab/>
        </w:r>
        <w:r>
          <w:rPr>
            <w:webHidden/>
          </w:rPr>
          <w:fldChar w:fldCharType="begin"/>
        </w:r>
        <w:r>
          <w:rPr>
            <w:webHidden/>
          </w:rPr>
          <w:instrText xml:space="preserve"> PAGEREF _Toc219808184 \h </w:instrText>
        </w:r>
        <w:r>
          <w:rPr>
            <w:webHidden/>
          </w:rPr>
        </w:r>
        <w:r>
          <w:rPr>
            <w:webHidden/>
          </w:rPr>
          <w:fldChar w:fldCharType="separate"/>
        </w:r>
        <w:r>
          <w:rPr>
            <w:webHidden/>
          </w:rPr>
          <w:t>38</w:t>
        </w:r>
        <w:r>
          <w:rPr>
            <w:webHidden/>
          </w:rPr>
          <w:fldChar w:fldCharType="end"/>
        </w:r>
      </w:hyperlink>
    </w:p>
    <w:p w14:paraId="017FE553" w14:textId="5FC78293" w:rsidR="00BB2601" w:rsidRDefault="00BB2601">
      <w:pPr>
        <w:pStyle w:val="Sommario1"/>
        <w:rPr>
          <w:rFonts w:cstheme="minorBidi"/>
          <w:bCs w:val="0"/>
          <w:color w:val="auto"/>
          <w:kern w:val="2"/>
          <w:sz w:val="24"/>
          <w:szCs w:val="24"/>
          <w:lang w:eastAsia="it-IT"/>
          <w14:ligatures w14:val="standardContextual"/>
        </w:rPr>
      </w:pPr>
      <w:hyperlink w:anchor="_Toc219808185" w:history="1">
        <w:r w:rsidRPr="00C64DF7">
          <w:rPr>
            <w:rStyle w:val="Collegamentoipertestuale"/>
          </w:rPr>
          <w:t>10. ORGANISMI PARTECIPATI</w:t>
        </w:r>
        <w:r>
          <w:rPr>
            <w:webHidden/>
          </w:rPr>
          <w:tab/>
        </w:r>
        <w:r>
          <w:rPr>
            <w:webHidden/>
          </w:rPr>
          <w:fldChar w:fldCharType="begin"/>
        </w:r>
        <w:r>
          <w:rPr>
            <w:webHidden/>
          </w:rPr>
          <w:instrText xml:space="preserve"> PAGEREF _Toc219808185 \h </w:instrText>
        </w:r>
        <w:r>
          <w:rPr>
            <w:webHidden/>
          </w:rPr>
        </w:r>
        <w:r>
          <w:rPr>
            <w:webHidden/>
          </w:rPr>
          <w:fldChar w:fldCharType="separate"/>
        </w:r>
        <w:r>
          <w:rPr>
            <w:webHidden/>
          </w:rPr>
          <w:t>40</w:t>
        </w:r>
        <w:r>
          <w:rPr>
            <w:webHidden/>
          </w:rPr>
          <w:fldChar w:fldCharType="end"/>
        </w:r>
      </w:hyperlink>
    </w:p>
    <w:p w14:paraId="228D44BF" w14:textId="2378CC29" w:rsidR="00BB2601" w:rsidRDefault="00BB2601">
      <w:pPr>
        <w:pStyle w:val="Sommario1"/>
        <w:rPr>
          <w:rFonts w:cstheme="minorBidi"/>
          <w:bCs w:val="0"/>
          <w:color w:val="auto"/>
          <w:kern w:val="2"/>
          <w:sz w:val="24"/>
          <w:szCs w:val="24"/>
          <w:lang w:eastAsia="it-IT"/>
          <w14:ligatures w14:val="standardContextual"/>
        </w:rPr>
      </w:pPr>
      <w:hyperlink w:anchor="_Toc219808186" w:history="1">
        <w:r w:rsidRPr="00C64DF7">
          <w:rPr>
            <w:rStyle w:val="Collegamentoipertestuale"/>
          </w:rPr>
          <w:t>11. PNRR</w:t>
        </w:r>
        <w:r>
          <w:rPr>
            <w:webHidden/>
          </w:rPr>
          <w:tab/>
        </w:r>
        <w:r>
          <w:rPr>
            <w:webHidden/>
          </w:rPr>
          <w:fldChar w:fldCharType="begin"/>
        </w:r>
        <w:r>
          <w:rPr>
            <w:webHidden/>
          </w:rPr>
          <w:instrText xml:space="preserve"> PAGEREF _Toc219808186 \h </w:instrText>
        </w:r>
        <w:r>
          <w:rPr>
            <w:webHidden/>
          </w:rPr>
        </w:r>
        <w:r>
          <w:rPr>
            <w:webHidden/>
          </w:rPr>
          <w:fldChar w:fldCharType="separate"/>
        </w:r>
        <w:r>
          <w:rPr>
            <w:webHidden/>
          </w:rPr>
          <w:t>42</w:t>
        </w:r>
        <w:r>
          <w:rPr>
            <w:webHidden/>
          </w:rPr>
          <w:fldChar w:fldCharType="end"/>
        </w:r>
      </w:hyperlink>
    </w:p>
    <w:p w14:paraId="20931195" w14:textId="7AA86479" w:rsidR="00BB2601" w:rsidRDefault="00BB2601">
      <w:pPr>
        <w:pStyle w:val="Sommario1"/>
        <w:rPr>
          <w:rFonts w:cstheme="minorBidi"/>
          <w:bCs w:val="0"/>
          <w:color w:val="auto"/>
          <w:kern w:val="2"/>
          <w:sz w:val="24"/>
          <w:szCs w:val="24"/>
          <w:lang w:eastAsia="it-IT"/>
          <w14:ligatures w14:val="standardContextual"/>
        </w:rPr>
      </w:pPr>
      <w:hyperlink w:anchor="_Toc219808187" w:history="1">
        <w:r w:rsidRPr="00C64DF7">
          <w:rPr>
            <w:rStyle w:val="Collegamentoipertestuale"/>
          </w:rPr>
          <w:t>12. OSSERVAZIONI E SUGGERIMENTI</w:t>
        </w:r>
        <w:r>
          <w:rPr>
            <w:webHidden/>
          </w:rPr>
          <w:tab/>
        </w:r>
        <w:r>
          <w:rPr>
            <w:webHidden/>
          </w:rPr>
          <w:fldChar w:fldCharType="begin"/>
        </w:r>
        <w:r>
          <w:rPr>
            <w:webHidden/>
          </w:rPr>
          <w:instrText xml:space="preserve"> PAGEREF _Toc219808187 \h </w:instrText>
        </w:r>
        <w:r>
          <w:rPr>
            <w:webHidden/>
          </w:rPr>
        </w:r>
        <w:r>
          <w:rPr>
            <w:webHidden/>
          </w:rPr>
          <w:fldChar w:fldCharType="separate"/>
        </w:r>
        <w:r>
          <w:rPr>
            <w:webHidden/>
          </w:rPr>
          <w:t>44</w:t>
        </w:r>
        <w:r>
          <w:rPr>
            <w:webHidden/>
          </w:rPr>
          <w:fldChar w:fldCharType="end"/>
        </w:r>
      </w:hyperlink>
    </w:p>
    <w:p w14:paraId="451636F7" w14:textId="4E2E6F06" w:rsidR="00BB2601" w:rsidRDefault="00BB2601">
      <w:pPr>
        <w:pStyle w:val="Sommario1"/>
        <w:rPr>
          <w:rFonts w:cstheme="minorBidi"/>
          <w:bCs w:val="0"/>
          <w:color w:val="auto"/>
          <w:kern w:val="2"/>
          <w:sz w:val="24"/>
          <w:szCs w:val="24"/>
          <w:lang w:eastAsia="it-IT"/>
          <w14:ligatures w14:val="standardContextual"/>
        </w:rPr>
      </w:pPr>
      <w:hyperlink w:anchor="_Toc219808188" w:history="1">
        <w:r w:rsidRPr="00C64DF7">
          <w:rPr>
            <w:rStyle w:val="Collegamentoipertestuale"/>
          </w:rPr>
          <w:t>13. CONCLUSIONI</w:t>
        </w:r>
        <w:r>
          <w:rPr>
            <w:webHidden/>
          </w:rPr>
          <w:tab/>
        </w:r>
        <w:r>
          <w:rPr>
            <w:webHidden/>
          </w:rPr>
          <w:fldChar w:fldCharType="begin"/>
        </w:r>
        <w:r>
          <w:rPr>
            <w:webHidden/>
          </w:rPr>
          <w:instrText xml:space="preserve"> PAGEREF _Toc219808188 \h </w:instrText>
        </w:r>
        <w:r>
          <w:rPr>
            <w:webHidden/>
          </w:rPr>
        </w:r>
        <w:r>
          <w:rPr>
            <w:webHidden/>
          </w:rPr>
          <w:fldChar w:fldCharType="separate"/>
        </w:r>
        <w:r>
          <w:rPr>
            <w:webHidden/>
          </w:rPr>
          <w:t>46</w:t>
        </w:r>
        <w:r>
          <w:rPr>
            <w:webHidden/>
          </w:rPr>
          <w:fldChar w:fldCharType="end"/>
        </w:r>
      </w:hyperlink>
    </w:p>
    <w:p w14:paraId="0B3CD289" w14:textId="00477BE9" w:rsidR="00067324" w:rsidRDefault="00F8628F" w:rsidP="000A2BF6">
      <w:pPr>
        <w:spacing w:after="0" w:line="0" w:lineRule="atLeast"/>
        <w:ind w:left="426" w:right="565"/>
        <w:rPr>
          <w:rFonts w:cs="Calibri (Corpo)"/>
          <w:b/>
          <w:caps/>
          <w:noProof/>
          <w:sz w:val="20"/>
          <w:szCs w:val="20"/>
        </w:rPr>
      </w:pPr>
      <w:r w:rsidRPr="00693D95">
        <w:rPr>
          <w:rFonts w:cs="Calibri (Corpo)"/>
          <w:b/>
          <w:caps/>
          <w:noProof/>
          <w:sz w:val="20"/>
          <w:szCs w:val="20"/>
        </w:rPr>
        <w:fldChar w:fldCharType="end"/>
      </w:r>
    </w:p>
    <w:p w14:paraId="667D319F" w14:textId="77777777" w:rsidR="0023056A" w:rsidRDefault="0023056A" w:rsidP="00492BD1">
      <w:pPr>
        <w:ind w:left="426" w:right="565"/>
        <w:rPr>
          <w:rFonts w:cs="Calibri (Corpo)"/>
          <w:b/>
          <w:caps/>
          <w:noProof/>
          <w:sz w:val="20"/>
          <w:szCs w:val="20"/>
        </w:rPr>
      </w:pPr>
    </w:p>
    <w:p w14:paraId="5E9D0C1B" w14:textId="77777777" w:rsidR="0023056A" w:rsidRDefault="0023056A" w:rsidP="00492BD1">
      <w:pPr>
        <w:ind w:left="426" w:right="565"/>
        <w:rPr>
          <w:rFonts w:cs="Calibri (Corpo)"/>
          <w:b/>
          <w:caps/>
          <w:noProof/>
          <w:sz w:val="20"/>
          <w:szCs w:val="20"/>
        </w:rPr>
      </w:pPr>
    </w:p>
    <w:p w14:paraId="63B2C666" w14:textId="77777777" w:rsidR="0023056A" w:rsidRDefault="0023056A" w:rsidP="00492BD1">
      <w:pPr>
        <w:ind w:left="426" w:right="565"/>
        <w:rPr>
          <w:rFonts w:cs="Calibri (Corpo)"/>
          <w:b/>
          <w:caps/>
          <w:noProof/>
          <w:sz w:val="20"/>
          <w:szCs w:val="20"/>
        </w:rPr>
      </w:pPr>
    </w:p>
    <w:p w14:paraId="500CAB52" w14:textId="77777777" w:rsidR="0023056A" w:rsidRDefault="0023056A" w:rsidP="00492BD1">
      <w:pPr>
        <w:ind w:left="426" w:right="565"/>
        <w:rPr>
          <w:rFonts w:cs="Calibri (Corpo)"/>
          <w:b/>
          <w:caps/>
          <w:noProof/>
          <w:sz w:val="20"/>
          <w:szCs w:val="20"/>
        </w:rPr>
      </w:pPr>
    </w:p>
    <w:p w14:paraId="781583E3" w14:textId="77777777" w:rsidR="0023056A" w:rsidRDefault="0023056A" w:rsidP="000A2BF6">
      <w:pPr>
        <w:spacing w:after="120"/>
        <w:ind w:left="425" w:right="567"/>
        <w:rPr>
          <w:rFonts w:cs="Calibri (Corpo)"/>
          <w:b/>
          <w:caps/>
          <w:noProof/>
          <w:sz w:val="20"/>
          <w:szCs w:val="20"/>
        </w:rPr>
      </w:pPr>
    </w:p>
    <w:p w14:paraId="08168A9A" w14:textId="77777777" w:rsidR="0023056A" w:rsidRDefault="0023056A" w:rsidP="00492BD1">
      <w:pPr>
        <w:ind w:left="426" w:right="565"/>
        <w:rPr>
          <w:rFonts w:cs="Calibri (Corpo)"/>
          <w:b/>
          <w:caps/>
          <w:noProof/>
          <w:sz w:val="20"/>
          <w:szCs w:val="20"/>
        </w:rPr>
      </w:pPr>
    </w:p>
    <w:p w14:paraId="4629F1AB" w14:textId="77777777" w:rsidR="0023056A" w:rsidRDefault="0023056A" w:rsidP="00492BD1">
      <w:pPr>
        <w:ind w:left="426" w:right="565"/>
        <w:rPr>
          <w:rFonts w:cs="Calibri (Corpo)"/>
          <w:b/>
          <w:caps/>
          <w:noProof/>
          <w:sz w:val="20"/>
          <w:szCs w:val="20"/>
        </w:rPr>
      </w:pPr>
    </w:p>
    <w:p w14:paraId="755F110A" w14:textId="50877011" w:rsidR="00597195" w:rsidRDefault="00D60A93" w:rsidP="00860593">
      <w:pPr>
        <w:pStyle w:val="Titolo1"/>
        <w:numPr>
          <w:ilvl w:val="0"/>
          <w:numId w:val="0"/>
        </w:numPr>
        <w:ind w:left="357" w:hanging="357"/>
      </w:pPr>
      <w:bookmarkStart w:id="2" w:name="_Toc219808154"/>
      <w:r>
        <w:t>P</w:t>
      </w:r>
      <w:r w:rsidR="00860593">
        <w:t>re</w:t>
      </w:r>
      <w:r w:rsidR="008A2232">
        <w:t>sentazione</w:t>
      </w:r>
      <w:bookmarkEnd w:id="2"/>
    </w:p>
    <w:p w14:paraId="629C05BB" w14:textId="556B90AB" w:rsidR="000F434D" w:rsidRPr="000F434D" w:rsidRDefault="000F434D" w:rsidP="000F434D">
      <w:pPr>
        <w:rPr>
          <w:i/>
          <w:iCs/>
          <w:color w:val="808080" w:themeColor="background1" w:themeShade="80"/>
        </w:rPr>
      </w:pPr>
      <w:r w:rsidRPr="000F434D">
        <w:rPr>
          <w:i/>
          <w:iCs/>
          <w:color w:val="808080" w:themeColor="background1" w:themeShade="80"/>
        </w:rPr>
        <w:t xml:space="preserve">Lo schema di parere che viene presentato è predisposto nel rispetto della parte II “Ordinamento finanziario e contabile del D.lgs. n.267/2000 «Testo unico delle leggi sull’ordinamento degli enti locali» (TUEL), dei principi contabili generali e del principio contabile applicato 4/2, allegati al D.lgs. </w:t>
      </w:r>
      <w:r w:rsidR="008102EA">
        <w:rPr>
          <w:i/>
          <w:iCs/>
          <w:color w:val="808080" w:themeColor="background1" w:themeShade="80"/>
        </w:rPr>
        <w:t>n.</w:t>
      </w:r>
      <w:r w:rsidRPr="000F434D">
        <w:rPr>
          <w:i/>
          <w:iCs/>
          <w:color w:val="808080" w:themeColor="background1" w:themeShade="80"/>
        </w:rPr>
        <w:t>118/2011.</w:t>
      </w:r>
    </w:p>
    <w:p w14:paraId="1694C18F" w14:textId="77777777" w:rsidR="000F434D" w:rsidRPr="000F434D" w:rsidRDefault="000F434D" w:rsidP="000F434D">
      <w:pPr>
        <w:rPr>
          <w:i/>
          <w:iCs/>
          <w:color w:val="808080" w:themeColor="background1" w:themeShade="80"/>
        </w:rPr>
      </w:pPr>
      <w:r w:rsidRPr="000F434D">
        <w:rPr>
          <w:i/>
          <w:iCs/>
          <w:color w:val="808080" w:themeColor="background1" w:themeShade="80"/>
        </w:rPr>
        <w:t>Per la formulazione del parere e per l’esercizio delle sue funzioni l’Organo di revisione può avvalersi dei primi tre principi di vigilanza e controllo emanati dal CNDCEC.</w:t>
      </w:r>
    </w:p>
    <w:p w14:paraId="63D250A1" w14:textId="59E8B59C" w:rsidR="000F434D" w:rsidRPr="000F434D" w:rsidRDefault="000F434D" w:rsidP="000F434D">
      <w:pPr>
        <w:rPr>
          <w:i/>
          <w:iCs/>
          <w:color w:val="808080" w:themeColor="background1" w:themeShade="80"/>
        </w:rPr>
      </w:pPr>
      <w:r w:rsidRPr="000F434D">
        <w:rPr>
          <w:i/>
          <w:iCs/>
          <w:color w:val="808080" w:themeColor="background1" w:themeShade="80"/>
        </w:rPr>
        <w:t>Per il riferimento all’anno precedente sono indicate le previsioni definitive 202</w:t>
      </w:r>
      <w:r w:rsidR="005B7ACB">
        <w:rPr>
          <w:i/>
          <w:iCs/>
          <w:color w:val="808080" w:themeColor="background1" w:themeShade="80"/>
        </w:rPr>
        <w:t>5</w:t>
      </w:r>
      <w:r w:rsidRPr="000F434D">
        <w:rPr>
          <w:i/>
          <w:iCs/>
          <w:color w:val="808080" w:themeColor="background1" w:themeShade="80"/>
        </w:rPr>
        <w:t>.</w:t>
      </w:r>
    </w:p>
    <w:p w14:paraId="51DFC63B" w14:textId="4C0F3EDF" w:rsidR="0050144D" w:rsidRDefault="005B7ACB" w:rsidP="000F434D">
      <w:pPr>
        <w:rPr>
          <w:i/>
          <w:iCs/>
          <w:color w:val="808080" w:themeColor="background1" w:themeShade="80"/>
        </w:rPr>
      </w:pPr>
      <w:r w:rsidRPr="005B7ACB">
        <w:rPr>
          <w:i/>
          <w:iCs/>
          <w:color w:val="808080" w:themeColor="background1" w:themeShade="80"/>
        </w:rPr>
        <w:t>Il presente documento tiene conto delle norme emanate fino alla data di pubblicazione dello stesso e degli altri provvedimenti che hanno impatto sul bilancio 202</w:t>
      </w:r>
      <w:r>
        <w:rPr>
          <w:i/>
          <w:iCs/>
          <w:color w:val="808080" w:themeColor="background1" w:themeShade="80"/>
        </w:rPr>
        <w:t>6</w:t>
      </w:r>
      <w:r w:rsidRPr="005B7ACB">
        <w:rPr>
          <w:i/>
          <w:iCs/>
          <w:color w:val="808080" w:themeColor="background1" w:themeShade="80"/>
        </w:rPr>
        <w:t>-202</w:t>
      </w:r>
      <w:r>
        <w:rPr>
          <w:i/>
          <w:iCs/>
          <w:color w:val="808080" w:themeColor="background1" w:themeShade="80"/>
        </w:rPr>
        <w:t>8</w:t>
      </w:r>
      <w:r w:rsidRPr="005B7ACB">
        <w:rPr>
          <w:i/>
          <w:iCs/>
          <w:color w:val="808080" w:themeColor="background1" w:themeShade="80"/>
        </w:rPr>
        <w:t xml:space="preserve"> degli enti locali comprese le novità </w:t>
      </w:r>
      <w:r w:rsidR="000704E5">
        <w:rPr>
          <w:i/>
          <w:iCs/>
          <w:color w:val="808080" w:themeColor="background1" w:themeShade="80"/>
        </w:rPr>
        <w:t>della Legge 30 dicembre 2025 n. 199 – c.d. Legge di Bilancio 2026</w:t>
      </w:r>
      <w:r w:rsidRPr="005B7ACB">
        <w:rPr>
          <w:i/>
          <w:iCs/>
          <w:color w:val="808080" w:themeColor="background1" w:themeShade="80"/>
        </w:rPr>
        <w:t xml:space="preserve"> </w:t>
      </w:r>
      <w:r w:rsidR="000704E5">
        <w:rPr>
          <w:i/>
          <w:iCs/>
          <w:color w:val="808080" w:themeColor="background1" w:themeShade="80"/>
        </w:rPr>
        <w:t xml:space="preserve">(di seguito nel testo del parere breviter “Legge di bilancio 2026) </w:t>
      </w:r>
      <w:r w:rsidRPr="005B7ACB">
        <w:rPr>
          <w:i/>
          <w:iCs/>
          <w:color w:val="808080" w:themeColor="background1" w:themeShade="80"/>
        </w:rPr>
        <w:t xml:space="preserve"> che sono evidenziate nel testo in appositi box di colore rosso.</w:t>
      </w:r>
      <w:r w:rsidR="00154134">
        <w:rPr>
          <w:i/>
          <w:iCs/>
          <w:color w:val="808080" w:themeColor="background1" w:themeShade="80"/>
        </w:rPr>
        <w:t xml:space="preserve"> </w:t>
      </w:r>
    </w:p>
    <w:p w14:paraId="166C2DD9" w14:textId="149922FB" w:rsidR="000F434D" w:rsidRPr="00F26984" w:rsidRDefault="00154134" w:rsidP="000F434D">
      <w:pPr>
        <w:rPr>
          <w:i/>
          <w:iCs/>
          <w:color w:val="808080" w:themeColor="background1" w:themeShade="80"/>
          <w:u w:val="single"/>
        </w:rPr>
      </w:pPr>
      <w:r w:rsidRPr="00F26984">
        <w:rPr>
          <w:i/>
          <w:iCs/>
          <w:color w:val="808080" w:themeColor="background1" w:themeShade="80"/>
          <w:u w:val="single"/>
        </w:rPr>
        <w:t>Si segnala</w:t>
      </w:r>
      <w:r w:rsidR="009A39B7" w:rsidRPr="00F26984">
        <w:rPr>
          <w:i/>
          <w:iCs/>
          <w:color w:val="808080" w:themeColor="background1" w:themeShade="80"/>
          <w:u w:val="single"/>
        </w:rPr>
        <w:t>, inoltre,</w:t>
      </w:r>
      <w:r w:rsidRPr="00F26984">
        <w:rPr>
          <w:i/>
          <w:iCs/>
          <w:color w:val="808080" w:themeColor="background1" w:themeShade="80"/>
          <w:u w:val="single"/>
        </w:rPr>
        <w:t xml:space="preserve"> che con Decreto del Ministero dell’Interno del 24 dicembre 2025 </w:t>
      </w:r>
      <w:r w:rsidR="006636D4" w:rsidRPr="00F26984">
        <w:rPr>
          <w:i/>
          <w:iCs/>
          <w:color w:val="808080" w:themeColor="background1" w:themeShade="80"/>
          <w:u w:val="single"/>
        </w:rPr>
        <w:t xml:space="preserve">il </w:t>
      </w:r>
      <w:r w:rsidRPr="00F26984">
        <w:rPr>
          <w:i/>
          <w:iCs/>
          <w:color w:val="808080" w:themeColor="background1" w:themeShade="80"/>
          <w:u w:val="single"/>
        </w:rPr>
        <w:t>termine per la deliberazione del bilancio di previsione 2026-2028</w:t>
      </w:r>
      <w:r w:rsidR="006636D4" w:rsidRPr="00F26984">
        <w:rPr>
          <w:i/>
          <w:iCs/>
          <w:color w:val="808080" w:themeColor="background1" w:themeShade="80"/>
          <w:u w:val="single"/>
        </w:rPr>
        <w:t xml:space="preserve"> è stato differito al 28 febbraio 2026</w:t>
      </w:r>
      <w:r w:rsidRPr="00F26984">
        <w:rPr>
          <w:i/>
          <w:iCs/>
          <w:color w:val="808080" w:themeColor="background1" w:themeShade="80"/>
          <w:u w:val="single"/>
        </w:rPr>
        <w:t>.</w:t>
      </w:r>
      <w:r w:rsidR="006636D4" w:rsidRPr="00F26984">
        <w:rPr>
          <w:i/>
          <w:iCs/>
          <w:color w:val="808080" w:themeColor="background1" w:themeShade="80"/>
          <w:u w:val="single"/>
        </w:rPr>
        <w:t xml:space="preserve"> </w:t>
      </w:r>
    </w:p>
    <w:p w14:paraId="4F278CE3"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documento rappresenta uno strumento a supporto dell’Organo di revisione per la formulazione del parere fornendo tutti i riferimenti normativi, le indicazioni di prassi e le avvertenze per un’azione di controllo del revisore completa ed efficace e, alla luce del ruolo specifico che la norma gli attribuisce, particolarmente attenta nel presidiare il permanere degli equilibri e l’evoluzione della gestione delle entrate e delle spese. </w:t>
      </w:r>
    </w:p>
    <w:p w14:paraId="3B54BD00" w14:textId="2ADC459E" w:rsidR="000F434D" w:rsidRPr="000F434D" w:rsidRDefault="000F434D" w:rsidP="000F434D">
      <w:pPr>
        <w:rPr>
          <w:i/>
          <w:iCs/>
          <w:color w:val="808080" w:themeColor="background1" w:themeShade="80"/>
        </w:rPr>
      </w:pPr>
      <w:r w:rsidRPr="000F434D">
        <w:rPr>
          <w:i/>
          <w:iCs/>
          <w:color w:val="808080" w:themeColor="background1" w:themeShade="80"/>
        </w:rPr>
        <w:t xml:space="preserve">Lo schema proposto è composto da un testo word con traccia del parere dell’organo di revisione corredata da commenti in corsivetto di colore azzurro e da tabelle che sono compilabili nel file </w:t>
      </w:r>
      <w:r w:rsidR="00D12016" w:rsidRPr="000F434D">
        <w:rPr>
          <w:i/>
          <w:iCs/>
          <w:color w:val="808080" w:themeColor="background1" w:themeShade="80"/>
        </w:rPr>
        <w:t>Excel</w:t>
      </w:r>
      <w:r w:rsidRPr="000F434D">
        <w:rPr>
          <w:i/>
          <w:iCs/>
          <w:color w:val="808080" w:themeColor="background1" w:themeShade="80"/>
        </w:rPr>
        <w:t xml:space="preserve"> allegato. </w:t>
      </w:r>
    </w:p>
    <w:p w14:paraId="3CE38F5A"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testo costituisce soltanto una traccia di riferimento per la formazione del parere da parte dell’Organo di revisione, il quale resta esclusivo responsabile della documentazione prodotta nell’ambito dell’attività di vigilanza e controllo. </w:t>
      </w:r>
    </w:p>
    <w:p w14:paraId="6A25C4F7" w14:textId="231D3B49" w:rsidR="00860593" w:rsidRPr="00F467B7" w:rsidRDefault="000F434D" w:rsidP="000F434D">
      <w:pPr>
        <w:rPr>
          <w:i/>
          <w:iCs/>
          <w:color w:val="auto"/>
        </w:rPr>
      </w:pPr>
      <w:r w:rsidRPr="000F434D">
        <w:rPr>
          <w:i/>
          <w:iCs/>
          <w:color w:val="808080" w:themeColor="background1" w:themeShade="80"/>
        </w:rPr>
        <w:t xml:space="preserve">Pur garantendo la massima affidabilità del documento si declina ogni responsabilità per eventuali involontari errori e/o inesattezze e/o refusi nel testo del parere ovvero nella formazione delle tabelle </w:t>
      </w:r>
      <w:r w:rsidR="00D12016" w:rsidRPr="000F434D">
        <w:rPr>
          <w:i/>
          <w:iCs/>
          <w:color w:val="808080" w:themeColor="background1" w:themeShade="80"/>
        </w:rPr>
        <w:t>Excel</w:t>
      </w:r>
      <w:r w:rsidRPr="000F434D">
        <w:rPr>
          <w:i/>
          <w:iCs/>
          <w:color w:val="808080" w:themeColor="background1" w:themeShade="80"/>
        </w:rPr>
        <w:t>.</w:t>
      </w:r>
    </w:p>
    <w:p w14:paraId="362292CA" w14:textId="77777777" w:rsidR="00860593" w:rsidRPr="00312F8F" w:rsidRDefault="00860593" w:rsidP="00860593">
      <w:pPr>
        <w:rPr>
          <w:color w:val="auto"/>
        </w:rPr>
      </w:pPr>
    </w:p>
    <w:p w14:paraId="5A001281" w14:textId="77777777" w:rsidR="00860593" w:rsidRPr="00312F8F" w:rsidRDefault="00860593" w:rsidP="00860593">
      <w:pPr>
        <w:rPr>
          <w:color w:val="auto"/>
        </w:rPr>
      </w:pPr>
    </w:p>
    <w:p w14:paraId="0407C620" w14:textId="77777777" w:rsidR="00860593" w:rsidRPr="00312F8F" w:rsidRDefault="00860593" w:rsidP="00860593">
      <w:pPr>
        <w:rPr>
          <w:color w:val="auto"/>
        </w:rPr>
      </w:pPr>
    </w:p>
    <w:p w14:paraId="5DD9B86D" w14:textId="77777777" w:rsidR="00860593" w:rsidRDefault="00860593" w:rsidP="00860593">
      <w:pPr>
        <w:rPr>
          <w:color w:val="auto"/>
        </w:rPr>
      </w:pPr>
    </w:p>
    <w:p w14:paraId="5581EDA3" w14:textId="77777777" w:rsidR="000F434D" w:rsidRDefault="000F434D" w:rsidP="00860593">
      <w:pPr>
        <w:rPr>
          <w:color w:val="auto"/>
        </w:rPr>
      </w:pPr>
    </w:p>
    <w:p w14:paraId="2D6183C0" w14:textId="1E3823EF" w:rsidR="000F434D" w:rsidRPr="007D39DB" w:rsidRDefault="00C76651" w:rsidP="00C76651">
      <w:pPr>
        <w:pBdr>
          <w:top w:val="nil"/>
          <w:left w:val="nil"/>
          <w:bottom w:val="nil"/>
          <w:right w:val="nil"/>
          <w:between w:val="nil"/>
        </w:pBdr>
        <w:spacing w:after="360" w:line="240" w:lineRule="auto"/>
        <w:rPr>
          <w:rFonts w:ascii="Arial" w:eastAsia="Cambria" w:hAnsi="Arial" w:cs="Arial"/>
          <w:color w:val="000000"/>
          <w:sz w:val="28"/>
          <w:szCs w:val="28"/>
        </w:rPr>
      </w:pPr>
      <w:r>
        <w:rPr>
          <w:rFonts w:ascii="Arial" w:eastAsia="Cambria" w:hAnsi="Arial" w:cs="Arial"/>
          <w:i/>
          <w:color w:val="000000"/>
          <w:sz w:val="28"/>
          <w:szCs w:val="28"/>
        </w:rPr>
        <w:t xml:space="preserve">                                          </w:t>
      </w:r>
      <w:r w:rsidR="000F434D" w:rsidRPr="007D39DB">
        <w:rPr>
          <w:rFonts w:ascii="Arial" w:eastAsia="Cambria" w:hAnsi="Arial" w:cs="Arial"/>
          <w:i/>
          <w:color w:val="000000"/>
          <w:sz w:val="28"/>
          <w:szCs w:val="28"/>
        </w:rPr>
        <w:t>COMUNE DI …………….</w:t>
      </w:r>
    </w:p>
    <w:p w14:paraId="11082CB4" w14:textId="37A0020D"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i/>
          <w:color w:val="000000"/>
          <w:sz w:val="28"/>
          <w:szCs w:val="28"/>
        </w:rPr>
        <w:t xml:space="preserve">Provincia di </w:t>
      </w:r>
      <w:r w:rsidR="00160626" w:rsidRPr="007D39DB">
        <w:rPr>
          <w:rFonts w:ascii="Arial" w:eastAsia="Cambria" w:hAnsi="Arial" w:cs="Arial"/>
          <w:i/>
          <w:color w:val="000000"/>
          <w:sz w:val="28"/>
          <w:szCs w:val="28"/>
        </w:rPr>
        <w:t>……</w:t>
      </w:r>
      <w:r w:rsidRPr="007D39DB">
        <w:rPr>
          <w:rFonts w:ascii="Arial" w:eastAsia="Cambria" w:hAnsi="Arial" w:cs="Arial"/>
          <w:i/>
          <w:color w:val="000000"/>
          <w:sz w:val="28"/>
          <w:szCs w:val="28"/>
        </w:rPr>
        <w:t>.</w:t>
      </w:r>
    </w:p>
    <w:p w14:paraId="01A7A19A"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16EF4ADE"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7517E9C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 xml:space="preserve">Parere dell’Organo di revisione sulla proposta di </w:t>
      </w:r>
    </w:p>
    <w:p w14:paraId="31709FC5" w14:textId="3AE8151C"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BILANCIO DI PREVISIONE 202</w:t>
      </w:r>
      <w:r w:rsidR="005B7ACB">
        <w:rPr>
          <w:rFonts w:ascii="Arial" w:eastAsia="Cambria" w:hAnsi="Arial" w:cs="Arial"/>
          <w:b/>
          <w:color w:val="000000"/>
          <w:sz w:val="28"/>
          <w:szCs w:val="28"/>
        </w:rPr>
        <w:t>6</w:t>
      </w:r>
      <w:r w:rsidRPr="007D39DB">
        <w:rPr>
          <w:rFonts w:ascii="Arial" w:eastAsia="Cambria" w:hAnsi="Arial" w:cs="Arial"/>
          <w:b/>
          <w:color w:val="000000"/>
          <w:sz w:val="28"/>
          <w:szCs w:val="28"/>
        </w:rPr>
        <w:t xml:space="preserve"> – 202</w:t>
      </w:r>
      <w:r w:rsidR="005B7ACB">
        <w:rPr>
          <w:rFonts w:ascii="Arial" w:eastAsia="Cambria" w:hAnsi="Arial" w:cs="Arial"/>
          <w:b/>
          <w:color w:val="000000"/>
          <w:sz w:val="28"/>
          <w:szCs w:val="28"/>
        </w:rPr>
        <w:t>8</w:t>
      </w:r>
    </w:p>
    <w:p w14:paraId="48AE1F6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b/>
          <w:color w:val="000000"/>
          <w:sz w:val="28"/>
          <w:szCs w:val="28"/>
        </w:rPr>
        <w:t>e documenti allegati</w:t>
      </w:r>
    </w:p>
    <w:p w14:paraId="5AF7C6A0"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b/>
          <w:color w:val="000000"/>
          <w:sz w:val="28"/>
          <w:szCs w:val="28"/>
        </w:rPr>
      </w:pPr>
    </w:p>
    <w:p w14:paraId="6E8BCCE7"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L’ORGANO DI REVISIONE</w:t>
      </w:r>
    </w:p>
    <w:p w14:paraId="04409F86"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 xml:space="preserve"> _________________</w:t>
      </w:r>
    </w:p>
    <w:p w14:paraId="3E3496D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028BBB0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4592DE39"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2E641304"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503A56EB"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77C87FA8" w14:textId="77777777" w:rsidR="008A2232"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r w:rsidRPr="000F434D">
        <w:rPr>
          <w:rFonts w:ascii="Arial" w:hAnsi="Arial" w:cs="Arial"/>
          <w:sz w:val="24"/>
          <w:szCs w:val="24"/>
        </w:rPr>
        <w:br w:type="page"/>
      </w:r>
    </w:p>
    <w:p w14:paraId="763B3AAE" w14:textId="77777777" w:rsidR="008A2232" w:rsidRDefault="008A2232"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p>
    <w:p w14:paraId="692566BC" w14:textId="61D653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L’ORGANO DI REVISIONE</w:t>
      </w:r>
    </w:p>
    <w:p w14:paraId="5AE333AE" w14:textId="2AD39A0E"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Verbale n.</w:t>
      </w:r>
      <w:r w:rsidR="00160626" w:rsidRPr="000F434D">
        <w:rPr>
          <w:rFonts w:ascii="Arial" w:eastAsia="Arial" w:hAnsi="Arial" w:cs="Arial"/>
          <w:b/>
          <w:color w:val="000000"/>
          <w:szCs w:val="22"/>
        </w:rPr>
        <w:t xml:space="preserve"> …</w:t>
      </w:r>
      <w:r w:rsidRPr="000F434D">
        <w:rPr>
          <w:rFonts w:ascii="Arial" w:eastAsia="Arial" w:hAnsi="Arial" w:cs="Arial"/>
          <w:b/>
          <w:color w:val="000000"/>
          <w:szCs w:val="22"/>
        </w:rPr>
        <w:t xml:space="preserve">. del </w:t>
      </w:r>
      <w:r w:rsidR="00160626" w:rsidRPr="000F434D">
        <w:rPr>
          <w:rFonts w:ascii="Arial" w:eastAsia="Arial" w:hAnsi="Arial" w:cs="Arial"/>
          <w:b/>
          <w:color w:val="000000"/>
          <w:szCs w:val="22"/>
        </w:rPr>
        <w:t>……</w:t>
      </w:r>
      <w:r w:rsidRPr="000F434D">
        <w:rPr>
          <w:rFonts w:ascii="Arial" w:eastAsia="Arial" w:hAnsi="Arial" w:cs="Arial"/>
          <w:b/>
          <w:color w:val="000000"/>
          <w:szCs w:val="22"/>
        </w:rPr>
        <w:t>.</w:t>
      </w:r>
    </w:p>
    <w:p w14:paraId="59427DF0" w14:textId="1A7E2F62" w:rsidR="000F434D" w:rsidRPr="000F434D" w:rsidRDefault="000F434D" w:rsidP="000F434D">
      <w:pPr>
        <w:pBdr>
          <w:top w:val="nil"/>
          <w:left w:val="nil"/>
          <w:bottom w:val="nil"/>
          <w:right w:val="nil"/>
          <w:between w:val="nil"/>
        </w:pBdr>
        <w:tabs>
          <w:tab w:val="left" w:pos="0"/>
          <w:tab w:val="left" w:pos="1418"/>
          <w:tab w:val="left" w:pos="2835"/>
          <w:tab w:val="left" w:pos="4252"/>
        </w:tabs>
        <w:spacing w:before="444" w:line="240" w:lineRule="auto"/>
        <w:ind w:hanging="2"/>
        <w:jc w:val="center"/>
        <w:rPr>
          <w:rFonts w:ascii="Arial" w:eastAsia="Arial" w:hAnsi="Arial" w:cs="Arial"/>
          <w:b/>
          <w:color w:val="000000"/>
          <w:szCs w:val="22"/>
        </w:rPr>
      </w:pPr>
      <w:r w:rsidRPr="000F434D">
        <w:rPr>
          <w:rFonts w:ascii="Arial" w:eastAsia="Arial" w:hAnsi="Arial" w:cs="Arial"/>
          <w:b/>
          <w:color w:val="000000"/>
          <w:szCs w:val="22"/>
        </w:rPr>
        <w:t>PARERE SULLA PROPOSTA DI BILANCIO DI PREVISIONE 202</w:t>
      </w:r>
      <w:r w:rsidR="005B7ACB">
        <w:rPr>
          <w:rFonts w:ascii="Arial" w:eastAsia="Arial" w:hAnsi="Arial" w:cs="Arial"/>
          <w:b/>
          <w:color w:val="000000"/>
          <w:szCs w:val="22"/>
        </w:rPr>
        <w:t>6</w:t>
      </w:r>
      <w:r w:rsidRPr="000F434D">
        <w:rPr>
          <w:rFonts w:ascii="Arial" w:eastAsia="Arial" w:hAnsi="Arial" w:cs="Arial"/>
          <w:b/>
          <w:color w:val="000000"/>
          <w:szCs w:val="22"/>
        </w:rPr>
        <w:t>-202</w:t>
      </w:r>
      <w:r w:rsidR="005B7ACB">
        <w:rPr>
          <w:rFonts w:ascii="Arial" w:eastAsia="Arial" w:hAnsi="Arial" w:cs="Arial"/>
          <w:b/>
          <w:color w:val="000000"/>
          <w:szCs w:val="22"/>
        </w:rPr>
        <w:t>8</w:t>
      </w:r>
    </w:p>
    <w:p w14:paraId="66E65752" w14:textId="77777777" w:rsidR="000F434D" w:rsidRPr="000F434D" w:rsidRDefault="000F434D" w:rsidP="000F434D">
      <w:pPr>
        <w:pBdr>
          <w:top w:val="nil"/>
          <w:left w:val="nil"/>
          <w:bottom w:val="nil"/>
          <w:right w:val="nil"/>
          <w:between w:val="nil"/>
        </w:pBdr>
        <w:tabs>
          <w:tab w:val="left" w:pos="0"/>
          <w:tab w:val="left" w:pos="1418"/>
          <w:tab w:val="left" w:pos="2835"/>
          <w:tab w:val="left" w:pos="4252"/>
          <w:tab w:val="left" w:pos="66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Premesso che l’Organo di revisione ha:</w:t>
      </w:r>
    </w:p>
    <w:p w14:paraId="2DB0DDA6" w14:textId="4D3EE3D5"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esaminato la proposta di bilancio di previsione 202</w:t>
      </w:r>
      <w:r w:rsidR="005B7ACB">
        <w:rPr>
          <w:rFonts w:ascii="Arial" w:eastAsia="Arial" w:hAnsi="Arial" w:cs="Arial"/>
          <w:color w:val="000000"/>
          <w:szCs w:val="22"/>
        </w:rPr>
        <w:t>6</w:t>
      </w:r>
      <w:r w:rsidRPr="000F434D">
        <w:rPr>
          <w:rFonts w:ascii="Arial" w:eastAsia="Arial" w:hAnsi="Arial" w:cs="Arial"/>
          <w:color w:val="000000"/>
          <w:szCs w:val="22"/>
        </w:rPr>
        <w:t>-202</w:t>
      </w:r>
      <w:r w:rsidR="005B7ACB">
        <w:rPr>
          <w:rFonts w:ascii="Arial" w:eastAsia="Arial" w:hAnsi="Arial" w:cs="Arial"/>
          <w:color w:val="000000"/>
          <w:szCs w:val="22"/>
        </w:rPr>
        <w:t>8</w:t>
      </w:r>
      <w:r w:rsidRPr="000F434D">
        <w:rPr>
          <w:rFonts w:ascii="Arial" w:eastAsia="Arial" w:hAnsi="Arial" w:cs="Arial"/>
          <w:color w:val="000000"/>
          <w:szCs w:val="22"/>
        </w:rPr>
        <w:t>, unitamente agli allegati di legge;</w:t>
      </w:r>
    </w:p>
    <w:p w14:paraId="7534029E"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18 agosto 2000 n. 267 «Testo unico delle leggi sull’ordinamento degli enti locali» (</w:t>
      </w:r>
      <w:hyperlink r:id="rId19">
        <w:r w:rsidRPr="000F434D">
          <w:rPr>
            <w:rFonts w:ascii="Arial" w:eastAsia="Arial" w:hAnsi="Arial" w:cs="Arial"/>
            <w:color w:val="000000"/>
            <w:szCs w:val="22"/>
          </w:rPr>
          <w:t>TUEL</w:t>
        </w:r>
      </w:hyperlink>
      <w:r w:rsidRPr="000F434D">
        <w:rPr>
          <w:rFonts w:ascii="Arial" w:eastAsia="Arial" w:hAnsi="Arial" w:cs="Arial"/>
          <w:color w:val="000000"/>
          <w:szCs w:val="22"/>
        </w:rPr>
        <w:t>);</w:t>
      </w:r>
    </w:p>
    <w:p w14:paraId="67555504" w14:textId="79535F42"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del 23 giugno 2011 n.118 e la versione aggiornata dei principi contabili generali ed applicati pubblicati sul sito ARCONET- Armonizzazione contabile enti territoriali;</w:t>
      </w:r>
      <w:r w:rsidR="00776DB2">
        <w:rPr>
          <w:rStyle w:val="Rimandonotaapidipagina"/>
          <w:rFonts w:ascii="Arial" w:eastAsia="Arial" w:hAnsi="Arial" w:cs="Arial"/>
          <w:color w:val="000000"/>
          <w:szCs w:val="22"/>
        </w:rPr>
        <w:footnoteReference w:id="1"/>
      </w:r>
    </w:p>
    <w:p w14:paraId="4FAB70C4" w14:textId="77777777" w:rsidR="000F434D" w:rsidRPr="000F434D" w:rsidRDefault="000F434D" w:rsidP="000F434D">
      <w:pPr>
        <w:pBdr>
          <w:top w:val="nil"/>
          <w:left w:val="nil"/>
          <w:bottom w:val="nil"/>
          <w:right w:val="nil"/>
          <w:between w:val="nil"/>
        </w:pBdr>
        <w:tabs>
          <w:tab w:val="left" w:pos="0"/>
          <w:tab w:val="left" w:pos="1247"/>
          <w:tab w:val="left" w:pos="3969"/>
          <w:tab w:val="left" w:pos="4252"/>
          <w:tab w:val="left" w:pos="11339"/>
          <w:tab w:val="left" w:pos="28346"/>
        </w:tabs>
        <w:spacing w:before="260" w:line="240" w:lineRule="auto"/>
        <w:ind w:hanging="2"/>
        <w:jc w:val="center"/>
        <w:rPr>
          <w:rFonts w:ascii="Arial" w:eastAsia="Arial" w:hAnsi="Arial" w:cs="Arial"/>
          <w:color w:val="000000"/>
          <w:szCs w:val="22"/>
        </w:rPr>
      </w:pPr>
      <w:r w:rsidRPr="000F434D">
        <w:rPr>
          <w:rFonts w:ascii="Arial" w:eastAsia="Arial" w:hAnsi="Arial" w:cs="Arial"/>
          <w:b/>
          <w:color w:val="000000"/>
          <w:szCs w:val="22"/>
        </w:rPr>
        <w:t>presenta</w:t>
      </w:r>
    </w:p>
    <w:p w14:paraId="7F11E1C5" w14:textId="278E5E08"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l’allegata relazione quale parere sulla proposta di bilancio di previsione per gli esercizi 202</w:t>
      </w:r>
      <w:r w:rsidR="005B7ACB">
        <w:rPr>
          <w:rFonts w:ascii="Arial" w:eastAsia="Arial" w:hAnsi="Arial" w:cs="Arial"/>
          <w:color w:val="000000"/>
          <w:szCs w:val="22"/>
        </w:rPr>
        <w:t>6</w:t>
      </w:r>
      <w:r w:rsidRPr="000F434D">
        <w:rPr>
          <w:rFonts w:ascii="Arial" w:eastAsia="Arial" w:hAnsi="Arial" w:cs="Arial"/>
          <w:color w:val="000000"/>
          <w:szCs w:val="22"/>
        </w:rPr>
        <w:t>-202</w:t>
      </w:r>
      <w:r w:rsidR="005B7ACB">
        <w:rPr>
          <w:rFonts w:ascii="Arial" w:eastAsia="Arial" w:hAnsi="Arial" w:cs="Arial"/>
          <w:color w:val="000000"/>
          <w:szCs w:val="22"/>
        </w:rPr>
        <w:t>8</w:t>
      </w:r>
      <w:r w:rsidRPr="000F434D">
        <w:rPr>
          <w:rFonts w:ascii="Arial" w:eastAsia="Arial" w:hAnsi="Arial" w:cs="Arial"/>
          <w:color w:val="000000"/>
          <w:szCs w:val="22"/>
        </w:rPr>
        <w:t>, del Comune di ……………………………………. che forma parte integrante e sostanziale del presente verbale.</w:t>
      </w:r>
    </w:p>
    <w:p w14:paraId="6C0F4936" w14:textId="0FCDF2F5" w:rsidR="000F434D" w:rsidRPr="000F434D" w:rsidRDefault="00160626"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Pr>
          <w:rFonts w:ascii="Arial" w:eastAsia="Arial" w:hAnsi="Arial" w:cs="Arial"/>
          <w:color w:val="000000"/>
          <w:szCs w:val="22"/>
        </w:rPr>
        <w:t>L</w:t>
      </w:r>
      <w:r w:rsidR="000F434D" w:rsidRPr="000F434D">
        <w:rPr>
          <w:rFonts w:ascii="Arial" w:eastAsia="Arial" w:hAnsi="Arial" w:cs="Arial"/>
          <w:color w:val="000000"/>
          <w:szCs w:val="22"/>
        </w:rPr>
        <w:t>ì</w:t>
      </w:r>
      <w:r>
        <w:rPr>
          <w:rFonts w:ascii="Arial" w:eastAsia="Arial" w:hAnsi="Arial" w:cs="Arial"/>
          <w:color w:val="000000"/>
          <w:szCs w:val="22"/>
        </w:rPr>
        <w:t>,</w:t>
      </w:r>
      <w:r w:rsidR="000F434D" w:rsidRPr="000F434D">
        <w:rPr>
          <w:rFonts w:ascii="Arial" w:eastAsia="Arial" w:hAnsi="Arial" w:cs="Arial"/>
          <w:color w:val="000000"/>
          <w:szCs w:val="22"/>
        </w:rPr>
        <w:t xml:space="preserve"> ……..  </w:t>
      </w:r>
      <w:r w:rsidR="000F434D" w:rsidRPr="000F434D">
        <w:rPr>
          <w:rFonts w:ascii="Arial" w:eastAsia="Arial" w:hAnsi="Arial" w:cs="Arial"/>
          <w:color w:val="000000"/>
          <w:szCs w:val="22"/>
        </w:rPr>
        <w:tab/>
      </w:r>
      <w:r w:rsidR="000F434D" w:rsidRPr="000F434D">
        <w:rPr>
          <w:rFonts w:ascii="Arial" w:eastAsia="Arial" w:hAnsi="Arial" w:cs="Arial"/>
          <w:color w:val="000000"/>
          <w:szCs w:val="22"/>
        </w:rPr>
        <w:tab/>
      </w:r>
      <w:r w:rsidR="000F434D" w:rsidRPr="000F434D">
        <w:rPr>
          <w:rFonts w:ascii="Arial" w:eastAsia="Arial" w:hAnsi="Arial" w:cs="Arial"/>
          <w:color w:val="000000"/>
          <w:szCs w:val="22"/>
        </w:rPr>
        <w:tab/>
      </w:r>
    </w:p>
    <w:p w14:paraId="21788631"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p>
    <w:p w14:paraId="27C0DD18"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jc w:val="center"/>
        <w:rPr>
          <w:rFonts w:ascii="Arial" w:eastAsia="Arial" w:hAnsi="Arial" w:cs="Arial"/>
          <w:color w:val="000000"/>
          <w:szCs w:val="22"/>
        </w:rPr>
      </w:pPr>
      <w:r w:rsidRPr="000F434D">
        <w:rPr>
          <w:rFonts w:ascii="Arial" w:eastAsia="Arial" w:hAnsi="Arial" w:cs="Arial"/>
          <w:color w:val="000000"/>
          <w:szCs w:val="22"/>
        </w:rPr>
        <w:t>L’ORGANO DI REVISIONE</w:t>
      </w:r>
    </w:p>
    <w:p w14:paraId="2CEEACA6"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p>
    <w:p w14:paraId="5B62285B"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5FB312E8"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73E9450A"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64CBFEB0" w14:textId="5F64F160" w:rsidR="00B93740" w:rsidRDefault="007D39DB">
      <w:pPr>
        <w:pStyle w:val="Titolo1"/>
        <w:numPr>
          <w:ilvl w:val="0"/>
          <w:numId w:val="3"/>
        </w:numPr>
      </w:pPr>
      <w:bookmarkStart w:id="3" w:name="_heading=h.1fob9te" w:colFirst="0" w:colLast="0"/>
      <w:bookmarkStart w:id="4" w:name="_Toc219808155"/>
      <w:bookmarkEnd w:id="3"/>
      <w:r>
        <w:lastRenderedPageBreak/>
        <w:t>PREMESSA</w:t>
      </w:r>
      <w:bookmarkEnd w:id="4"/>
    </w:p>
    <w:p w14:paraId="1ED92FA2" w14:textId="7E6319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I sottoscritti / Il</w:t>
      </w:r>
      <w:r w:rsidR="00A65CF4">
        <w:rPr>
          <w:rFonts w:ascii="Arial" w:eastAsia="Arial" w:hAnsi="Arial" w:cs="Arial"/>
          <w:b/>
          <w:color w:val="000000"/>
          <w:szCs w:val="22"/>
        </w:rPr>
        <w:t>/La</w:t>
      </w:r>
      <w:r>
        <w:rPr>
          <w:rFonts w:ascii="Arial" w:eastAsia="Arial" w:hAnsi="Arial" w:cs="Arial"/>
          <w:b/>
          <w:color w:val="000000"/>
          <w:szCs w:val="22"/>
        </w:rPr>
        <w:t xml:space="preserve"> sottoscritto</w:t>
      </w:r>
      <w:r w:rsidR="00A65CF4">
        <w:rPr>
          <w:rFonts w:ascii="Arial" w:eastAsia="Arial" w:hAnsi="Arial" w:cs="Arial"/>
          <w:b/>
          <w:color w:val="000000"/>
          <w:szCs w:val="22"/>
        </w:rPr>
        <w:t>/a</w:t>
      </w:r>
      <w:r>
        <w:rPr>
          <w:rFonts w:ascii="Arial" w:eastAsia="Arial" w:hAnsi="Arial" w:cs="Arial"/>
          <w:color w:val="000000"/>
          <w:szCs w:val="22"/>
        </w:rPr>
        <w:t xml:space="preserve"> __________________, __________________, _________________, </w:t>
      </w:r>
      <w:r>
        <w:rPr>
          <w:rFonts w:ascii="Arial" w:eastAsia="Arial" w:hAnsi="Arial" w:cs="Arial"/>
          <w:b/>
          <w:color w:val="000000"/>
          <w:szCs w:val="22"/>
        </w:rPr>
        <w:t>revisori / revisore nominati / nominato</w:t>
      </w:r>
      <w:r w:rsidR="00A65CF4">
        <w:rPr>
          <w:rFonts w:ascii="Arial" w:eastAsia="Arial" w:hAnsi="Arial" w:cs="Arial"/>
          <w:b/>
          <w:color w:val="000000"/>
          <w:szCs w:val="22"/>
        </w:rPr>
        <w:t>/a</w:t>
      </w:r>
      <w:r>
        <w:rPr>
          <w:rFonts w:ascii="Arial" w:eastAsia="Arial" w:hAnsi="Arial" w:cs="Arial"/>
          <w:b/>
          <w:color w:val="000000"/>
          <w:szCs w:val="22"/>
        </w:rPr>
        <w:t xml:space="preserve"> </w:t>
      </w:r>
      <w:r>
        <w:rPr>
          <w:rFonts w:ascii="Arial" w:eastAsia="Arial" w:hAnsi="Arial" w:cs="Arial"/>
          <w:color w:val="000000"/>
          <w:szCs w:val="22"/>
        </w:rPr>
        <w:t>con delibera dell’organo consiliare n. _____ del __.__._____;</w:t>
      </w:r>
    </w:p>
    <w:p w14:paraId="1A21700C" w14:textId="77777777"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r>
        <w:rPr>
          <w:rFonts w:ascii="Arial" w:eastAsia="Arial" w:hAnsi="Arial" w:cs="Arial"/>
          <w:b/>
          <w:i/>
          <w:color w:val="000000"/>
          <w:szCs w:val="22"/>
        </w:rPr>
        <w:t>Premesso</w:t>
      </w:r>
    </w:p>
    <w:p w14:paraId="0FD43648" w14:textId="7CD4C8E5"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che l’Ente deve redigere il bilancio di previsione rispettando il titolo II del D.lgs. </w:t>
      </w:r>
      <w:r w:rsidR="008102EA">
        <w:rPr>
          <w:rFonts w:ascii="Arial" w:eastAsia="Arial" w:hAnsi="Arial" w:cs="Arial"/>
          <w:color w:val="000000"/>
          <w:szCs w:val="22"/>
        </w:rPr>
        <w:t>n.</w:t>
      </w:r>
      <w:r>
        <w:rPr>
          <w:rFonts w:ascii="Arial" w:eastAsia="Arial" w:hAnsi="Arial" w:cs="Arial"/>
          <w:color w:val="000000"/>
          <w:szCs w:val="22"/>
        </w:rPr>
        <w:t xml:space="preserve">267/2000 (di seguito anche TUEL), i principi contabili generali e applicati alla contabilità finanziaria, lo schema di bilancio di </w:t>
      </w:r>
      <w:r w:rsidRPr="00DB44C2">
        <w:rPr>
          <w:rFonts w:ascii="Arial" w:eastAsia="Arial" w:hAnsi="Arial" w:cs="Arial"/>
          <w:color w:val="000000"/>
          <w:szCs w:val="22"/>
        </w:rPr>
        <w:t>cui all’allegato 9</w:t>
      </w:r>
      <w:r w:rsidRPr="0090434D">
        <w:rPr>
          <w:rFonts w:ascii="Arial" w:eastAsia="Arial" w:hAnsi="Arial" w:cs="Arial"/>
          <w:szCs w:val="22"/>
        </w:rPr>
        <w:t xml:space="preserve"> </w:t>
      </w:r>
      <w:r>
        <w:rPr>
          <w:rFonts w:ascii="Arial" w:eastAsia="Arial" w:hAnsi="Arial" w:cs="Arial"/>
          <w:color w:val="000000"/>
          <w:szCs w:val="22"/>
        </w:rPr>
        <w:t xml:space="preserve">al </w:t>
      </w:r>
      <w:r w:rsidR="00160626">
        <w:rPr>
          <w:rFonts w:ascii="Arial" w:eastAsia="Arial" w:hAnsi="Arial" w:cs="Arial"/>
          <w:color w:val="000000"/>
          <w:szCs w:val="22"/>
        </w:rPr>
        <w:t>D.lgs. n.</w:t>
      </w:r>
      <w:r>
        <w:rPr>
          <w:rFonts w:ascii="Arial" w:eastAsia="Arial" w:hAnsi="Arial" w:cs="Arial"/>
          <w:color w:val="000000"/>
          <w:szCs w:val="22"/>
        </w:rPr>
        <w:t>118/2011</w:t>
      </w:r>
      <w:r w:rsidR="00980DE5">
        <w:rPr>
          <w:rFonts w:ascii="Arial" w:eastAsia="Arial" w:hAnsi="Arial" w:cs="Arial"/>
          <w:color w:val="000000"/>
          <w:szCs w:val="22"/>
        </w:rPr>
        <w:t>;</w:t>
      </w:r>
      <w:r>
        <w:rPr>
          <w:rFonts w:ascii="Arial" w:eastAsia="Arial" w:hAnsi="Arial" w:cs="Arial"/>
          <w:color w:val="000000"/>
          <w:szCs w:val="22"/>
        </w:rPr>
        <w:t xml:space="preserve"> </w:t>
      </w:r>
    </w:p>
    <w:p w14:paraId="5B332B4A" w14:textId="661BAED2"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che è stato ricevuto in data ……………… lo schema del bilancio di previsione per gli esercizi 202</w:t>
      </w:r>
      <w:r w:rsidR="005B7ACB">
        <w:rPr>
          <w:rFonts w:ascii="Arial" w:eastAsia="Arial" w:hAnsi="Arial" w:cs="Arial"/>
          <w:color w:val="000000"/>
          <w:szCs w:val="22"/>
        </w:rPr>
        <w:t>6</w:t>
      </w:r>
      <w:r>
        <w:rPr>
          <w:rFonts w:ascii="Arial" w:eastAsia="Arial" w:hAnsi="Arial" w:cs="Arial"/>
          <w:color w:val="000000"/>
          <w:szCs w:val="22"/>
        </w:rPr>
        <w:t>-202</w:t>
      </w:r>
      <w:r w:rsidR="005B7ACB">
        <w:rPr>
          <w:rFonts w:ascii="Arial" w:eastAsia="Arial" w:hAnsi="Arial" w:cs="Arial"/>
          <w:color w:val="000000"/>
          <w:szCs w:val="22"/>
        </w:rPr>
        <w:t>8</w:t>
      </w:r>
      <w:r>
        <w:rPr>
          <w:rFonts w:ascii="Arial" w:eastAsia="Arial" w:hAnsi="Arial" w:cs="Arial"/>
          <w:color w:val="000000"/>
          <w:szCs w:val="22"/>
        </w:rPr>
        <w:t xml:space="preserve">, approvato dalla </w:t>
      </w:r>
      <w:r w:rsidR="00BB3565">
        <w:rPr>
          <w:rFonts w:ascii="Arial" w:eastAsia="Arial" w:hAnsi="Arial" w:cs="Arial"/>
          <w:color w:val="000000"/>
          <w:szCs w:val="22"/>
        </w:rPr>
        <w:t>G</w:t>
      </w:r>
      <w:r>
        <w:rPr>
          <w:rFonts w:ascii="Arial" w:eastAsia="Arial" w:hAnsi="Arial" w:cs="Arial"/>
          <w:color w:val="000000"/>
          <w:szCs w:val="22"/>
        </w:rPr>
        <w:t>iunta comunale in data…………con delibera n. …….,completo degli  allegati disposti dalla legge e necessari per il controllo.</w:t>
      </w:r>
    </w:p>
    <w:p w14:paraId="5510AC7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p>
    <w:p w14:paraId="7BB64C37"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viste le disposizioni di Legge che regolano la finanza locale, in particolare il </w:t>
      </w:r>
      <w:hyperlink r:id="rId20">
        <w:r>
          <w:rPr>
            <w:rFonts w:ascii="Arial" w:eastAsia="Arial" w:hAnsi="Arial" w:cs="Arial"/>
            <w:color w:val="000000"/>
            <w:szCs w:val="22"/>
          </w:rPr>
          <w:t>TUEL</w:t>
        </w:r>
      </w:hyperlink>
      <w:r>
        <w:rPr>
          <w:rFonts w:ascii="Arial" w:eastAsia="Arial" w:hAnsi="Arial" w:cs="Arial"/>
          <w:color w:val="000000"/>
          <w:szCs w:val="22"/>
        </w:rPr>
        <w:t>;</w:t>
      </w:r>
    </w:p>
    <w:p w14:paraId="1B96D025" w14:textId="35AC796D"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dell’</w:t>
      </w:r>
      <w:r w:rsidR="00980DE5">
        <w:rPr>
          <w:rFonts w:ascii="Arial" w:eastAsia="Arial" w:hAnsi="Arial" w:cs="Arial"/>
          <w:color w:val="000000"/>
          <w:szCs w:val="22"/>
        </w:rPr>
        <w:t>E</w:t>
      </w:r>
      <w:r>
        <w:rPr>
          <w:rFonts w:ascii="Arial" w:eastAsia="Arial" w:hAnsi="Arial" w:cs="Arial"/>
          <w:color w:val="000000"/>
          <w:szCs w:val="22"/>
        </w:rPr>
        <w:t xml:space="preserve">nte, con particolare riferimento alle funzioni </w:t>
      </w:r>
      <w:r w:rsidRPr="00DB44C2">
        <w:rPr>
          <w:rFonts w:ascii="Arial" w:eastAsia="Arial" w:hAnsi="Arial" w:cs="Arial"/>
          <w:color w:val="000000"/>
          <w:szCs w:val="22"/>
        </w:rPr>
        <w:t xml:space="preserve">attribuite all’Organo di </w:t>
      </w:r>
      <w:r>
        <w:rPr>
          <w:rFonts w:ascii="Arial" w:eastAsia="Arial" w:hAnsi="Arial" w:cs="Arial"/>
          <w:color w:val="000000"/>
          <w:szCs w:val="22"/>
        </w:rPr>
        <w:t>revisione;</w:t>
      </w:r>
    </w:p>
    <w:p w14:paraId="03BBE028"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ed il regolamento di contabilità;</w:t>
      </w:r>
    </w:p>
    <w:p w14:paraId="5DEABFBD" w14:textId="77777777" w:rsidR="00274695" w:rsidRDefault="000F434D">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sidRPr="00274695">
        <w:rPr>
          <w:rFonts w:ascii="Arial" w:eastAsia="Arial" w:hAnsi="Arial" w:cs="Arial"/>
          <w:color w:val="000000"/>
          <w:szCs w:val="22"/>
        </w:rPr>
        <w:t>visti i regolamenti relativi ai tributi comunali;</w:t>
      </w:r>
    </w:p>
    <w:p w14:paraId="77A5A53C" w14:textId="0747F1E6" w:rsidR="000F434D" w:rsidRPr="00274695" w:rsidRDefault="00274695">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w:t>
      </w:r>
      <w:r w:rsidR="000F434D" w:rsidRPr="00274695">
        <w:rPr>
          <w:rFonts w:ascii="Arial" w:eastAsia="Arial" w:hAnsi="Arial" w:cs="Arial"/>
          <w:color w:val="000000"/>
          <w:szCs w:val="22"/>
        </w:rPr>
        <w:t>isto il parere espresso dal responsabile del servizio finanziario, ai sensi dell’art.153, comma 4 del D.lgs. n. 267/2000, in data ………. in merito alla veridicità delle previsioni di entrata e di compatibilità delle previsioni di spesa, avanzate dai vari servizi, iscritte nel bilancio di previsione 202</w:t>
      </w:r>
      <w:r w:rsidR="005B7ACB">
        <w:rPr>
          <w:rFonts w:ascii="Arial" w:eastAsia="Arial" w:hAnsi="Arial" w:cs="Arial"/>
          <w:color w:val="000000"/>
          <w:szCs w:val="22"/>
        </w:rPr>
        <w:t>6</w:t>
      </w:r>
      <w:r w:rsidR="000F434D" w:rsidRPr="00274695">
        <w:rPr>
          <w:rFonts w:ascii="Arial" w:eastAsia="Arial" w:hAnsi="Arial" w:cs="Arial"/>
          <w:color w:val="000000"/>
          <w:szCs w:val="22"/>
        </w:rPr>
        <w:t>-202</w:t>
      </w:r>
      <w:r w:rsidR="005B7ACB">
        <w:rPr>
          <w:rFonts w:ascii="Arial" w:eastAsia="Arial" w:hAnsi="Arial" w:cs="Arial"/>
          <w:color w:val="000000"/>
          <w:szCs w:val="22"/>
        </w:rPr>
        <w:t>8</w:t>
      </w:r>
      <w:r w:rsidR="000F434D" w:rsidRPr="00274695">
        <w:rPr>
          <w:rFonts w:ascii="Arial" w:eastAsia="Arial" w:hAnsi="Arial" w:cs="Arial"/>
          <w:color w:val="000000"/>
          <w:szCs w:val="22"/>
        </w:rPr>
        <w:t>;</w:t>
      </w:r>
    </w:p>
    <w:p w14:paraId="28C0ECD4" w14:textId="45251173" w:rsidR="000F434D" w:rsidRDefault="00274695" w:rsidP="000F434D">
      <w:pPr>
        <w:pBdr>
          <w:top w:val="nil"/>
          <w:left w:val="nil"/>
          <w:bottom w:val="nil"/>
          <w:right w:val="nil"/>
          <w:between w:val="nil"/>
        </w:pBdr>
        <w:tabs>
          <w:tab w:val="left" w:pos="360"/>
          <w:tab w:val="left" w:pos="426"/>
        </w:tabs>
        <w:spacing w:after="120" w:line="240" w:lineRule="auto"/>
        <w:ind w:hanging="2"/>
        <w:rPr>
          <w:rFonts w:ascii="Arial" w:eastAsia="Arial" w:hAnsi="Arial" w:cs="Arial"/>
          <w:color w:val="000000"/>
          <w:szCs w:val="22"/>
        </w:rPr>
      </w:pPr>
      <w:r>
        <w:rPr>
          <w:rFonts w:ascii="Arial" w:eastAsia="Arial" w:hAnsi="Arial" w:cs="Arial"/>
          <w:color w:val="000000"/>
          <w:szCs w:val="22"/>
        </w:rPr>
        <w:t>l</w:t>
      </w:r>
      <w:r w:rsidR="000F434D">
        <w:rPr>
          <w:rFonts w:ascii="Arial" w:eastAsia="Arial" w:hAnsi="Arial" w:cs="Arial"/>
          <w:color w:val="000000"/>
          <w:szCs w:val="22"/>
        </w:rPr>
        <w:t>’Organo di revisione ha effettuato le seguenti verifiche al fine di esprimere un motivato giudizio di coerenza, attendibilità e congruità contabile delle previsioni di bilancio e dei programmi e progetti, come richiesto dall’art. 239, comma 1, lettera b) del D.lgs. n. 267/2000.</w:t>
      </w:r>
    </w:p>
    <w:p w14:paraId="18CEF4CA" w14:textId="7299C79B" w:rsidR="000F434D" w:rsidRDefault="008A2232" w:rsidP="007D39DB">
      <w:pPr>
        <w:pStyle w:val="Titolo1"/>
        <w:numPr>
          <w:ilvl w:val="0"/>
          <w:numId w:val="0"/>
        </w:numPr>
        <w:ind w:left="357" w:hanging="357"/>
        <w:rPr>
          <w:rFonts w:ascii="Cambria" w:eastAsia="Cambria" w:hAnsi="Cambria" w:cs="Cambria"/>
          <w:b w:val="0"/>
          <w:color w:val="000000"/>
          <w:sz w:val="32"/>
          <w:szCs w:val="32"/>
        </w:rPr>
      </w:pPr>
      <w:bookmarkStart w:id="5" w:name="_Toc219808156"/>
      <w:r w:rsidRPr="00867831">
        <w:t xml:space="preserve">2. </w:t>
      </w:r>
      <w:r w:rsidR="00B93740" w:rsidRPr="00867831">
        <w:t>N</w:t>
      </w:r>
      <w:r w:rsidR="007D39DB">
        <w:t>OTIZIE GENERALI SULL’ENTE</w:t>
      </w:r>
      <w:bookmarkEnd w:id="5"/>
    </w:p>
    <w:p w14:paraId="5691A480" w14:textId="1D890D43"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Comune di ______ registra una popolazione al 01.01.202</w:t>
      </w:r>
      <w:r w:rsidR="005B7ACB">
        <w:rPr>
          <w:rFonts w:ascii="Arial" w:eastAsia="Arial" w:hAnsi="Arial" w:cs="Arial"/>
          <w:color w:val="000000"/>
          <w:szCs w:val="22"/>
        </w:rPr>
        <w:t>5</w:t>
      </w:r>
      <w:r>
        <w:rPr>
          <w:rFonts w:ascii="Arial" w:eastAsia="Arial" w:hAnsi="Arial" w:cs="Arial"/>
          <w:color w:val="000000"/>
          <w:szCs w:val="22"/>
        </w:rPr>
        <w:t>, di n</w:t>
      </w:r>
      <w:r w:rsidR="00435AB9">
        <w:rPr>
          <w:rFonts w:ascii="Arial" w:eastAsia="Arial" w:hAnsi="Arial" w:cs="Arial"/>
          <w:color w:val="000000"/>
          <w:szCs w:val="22"/>
        </w:rPr>
        <w:t>.</w:t>
      </w:r>
      <w:r>
        <w:rPr>
          <w:rFonts w:ascii="Arial" w:eastAsia="Arial" w:hAnsi="Arial" w:cs="Arial"/>
          <w:color w:val="000000"/>
          <w:szCs w:val="22"/>
        </w:rPr>
        <w:t xml:space="preserve"> ______abitanti.</w:t>
      </w:r>
    </w:p>
    <w:p w14:paraId="308ED259" w14:textId="77777777" w:rsidR="00D563DB" w:rsidRDefault="00D563DB" w:rsidP="000F434D">
      <w:pPr>
        <w:pBdr>
          <w:top w:val="nil"/>
          <w:left w:val="nil"/>
          <w:bottom w:val="nil"/>
          <w:right w:val="nil"/>
          <w:between w:val="nil"/>
        </w:pBdr>
        <w:spacing w:line="240" w:lineRule="auto"/>
        <w:ind w:hanging="2"/>
        <w:rPr>
          <w:rFonts w:ascii="Arial" w:eastAsia="Arial" w:hAnsi="Arial" w:cs="Arial"/>
          <w:color w:val="000000"/>
          <w:szCs w:val="22"/>
        </w:rPr>
      </w:pPr>
    </w:p>
    <w:p w14:paraId="13295275" w14:textId="6990897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w:t>
      </w:r>
      <w:r w:rsidR="005B7ACB">
        <w:rPr>
          <w:rFonts w:ascii="Arial" w:eastAsia="Arial" w:hAnsi="Arial" w:cs="Arial"/>
          <w:i/>
          <w:color w:val="000000"/>
          <w:szCs w:val="22"/>
        </w:rPr>
        <w:t>è</w:t>
      </w:r>
      <w:r>
        <w:rPr>
          <w:rFonts w:ascii="Arial" w:eastAsia="Arial" w:hAnsi="Arial" w:cs="Arial"/>
          <w:i/>
          <w:color w:val="000000"/>
          <w:szCs w:val="22"/>
        </w:rPr>
        <w:t xml:space="preserve"> stato istituto a seguito di processo di fusione per unione. </w:t>
      </w:r>
    </w:p>
    <w:p w14:paraId="30E7B1F2" w14:textId="4EF299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incorporante del processo di fusione per incorporazione. </w:t>
      </w:r>
    </w:p>
    <w:p w14:paraId="1D779A2A" w14:textId="0D46B06B" w:rsidR="000F434D" w:rsidRPr="00DB44C2"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disavanzo.</w:t>
      </w:r>
    </w:p>
    <w:p w14:paraId="143530F1" w14:textId="77777777" w:rsidR="00D563DB"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piano di riequilibrio</w:t>
      </w:r>
      <w:r w:rsidR="003B0545" w:rsidRPr="00DB44C2">
        <w:rPr>
          <w:rStyle w:val="Rimandonotaapidipagina"/>
          <w:rFonts w:ascii="Arial" w:eastAsia="Arial" w:hAnsi="Arial" w:cs="Arial"/>
          <w:color w:val="auto"/>
          <w:szCs w:val="22"/>
        </w:rPr>
        <w:footnoteReference w:id="2"/>
      </w:r>
      <w:r w:rsidR="000F434D" w:rsidRPr="00DB44C2">
        <w:rPr>
          <w:rFonts w:ascii="Arial" w:eastAsia="Arial" w:hAnsi="Arial" w:cs="Arial"/>
          <w:color w:val="auto"/>
          <w:szCs w:val="22"/>
        </w:rPr>
        <w:t>.</w:t>
      </w:r>
    </w:p>
    <w:p w14:paraId="2A40F150" w14:textId="186F0F0E" w:rsidR="00EE25AD" w:rsidRDefault="00EE25AD" w:rsidP="000F434D">
      <w:pPr>
        <w:ind w:hanging="2"/>
        <w:rPr>
          <w:rFonts w:ascii="Arial" w:eastAsia="Arial" w:hAnsi="Arial" w:cs="Arial"/>
          <w:b/>
          <w:bCs/>
          <w:i/>
          <w:iCs/>
          <w:color w:val="00B0F0"/>
          <w:szCs w:val="22"/>
        </w:rPr>
      </w:pPr>
      <w:r w:rsidRPr="00123ADD">
        <w:rPr>
          <w:rFonts w:ascii="Arial" w:eastAsia="Arial" w:hAnsi="Arial" w:cs="Arial"/>
          <w:b/>
          <w:bCs/>
          <w:i/>
          <w:iCs/>
          <w:color w:val="00B0F0"/>
          <w:szCs w:val="22"/>
        </w:rPr>
        <w:lastRenderedPageBreak/>
        <w:t>N.B. Qualora l’Ente fosse in piano di riequilibrio</w:t>
      </w:r>
    </w:p>
    <w:p w14:paraId="71A9951A" w14:textId="77777777" w:rsidR="003D2C2F" w:rsidRDefault="003D2C2F" w:rsidP="000F434D">
      <w:pPr>
        <w:ind w:hanging="2"/>
        <w:rPr>
          <w:rFonts w:ascii="Arial" w:eastAsia="Arial" w:hAnsi="Arial" w:cs="Arial"/>
          <w:i/>
          <w:iCs/>
          <w:color w:val="00B0F0"/>
          <w:szCs w:val="22"/>
        </w:rPr>
      </w:pPr>
      <w:r>
        <w:rPr>
          <w:rFonts w:ascii="Arial" w:eastAsia="Arial" w:hAnsi="Arial" w:cs="Arial"/>
          <w:i/>
          <w:iCs/>
          <w:color w:val="00B0F0"/>
          <w:szCs w:val="22"/>
        </w:rPr>
        <w:t>L’Organo di revisione ha verificato che:</w:t>
      </w:r>
    </w:p>
    <w:p w14:paraId="7FCEED6E" w14:textId="0AA22847" w:rsidR="003D2C2F" w:rsidRDefault="003D2C2F" w:rsidP="003D2C2F">
      <w:pPr>
        <w:ind w:hanging="2"/>
        <w:rPr>
          <w:rFonts w:ascii="Arial" w:eastAsia="Arial" w:hAnsi="Arial" w:cs="Arial"/>
          <w:i/>
          <w:iCs/>
          <w:color w:val="00B0F0"/>
          <w:szCs w:val="22"/>
        </w:rPr>
      </w:pPr>
      <w:r>
        <w:rPr>
          <w:rFonts w:ascii="Arial" w:eastAsia="Arial" w:hAnsi="Arial" w:cs="Arial"/>
          <w:i/>
          <w:iCs/>
          <w:color w:val="00B0F0"/>
          <w:szCs w:val="22"/>
        </w:rPr>
        <w:t xml:space="preserve">- la sezione regionale della Corte dei conti competente ha approvato il piano di riequilibrio finanziario </w:t>
      </w:r>
      <w:r w:rsidR="009A39B7">
        <w:rPr>
          <w:rFonts w:ascii="Arial" w:eastAsia="Arial" w:hAnsi="Arial" w:cs="Arial"/>
          <w:i/>
          <w:iCs/>
          <w:color w:val="00B0F0"/>
          <w:szCs w:val="22"/>
        </w:rPr>
        <w:t>pluriennale</w:t>
      </w:r>
      <w:r>
        <w:rPr>
          <w:rFonts w:ascii="Arial" w:eastAsia="Arial" w:hAnsi="Arial" w:cs="Arial"/>
          <w:i/>
          <w:iCs/>
          <w:color w:val="00B0F0"/>
          <w:szCs w:val="22"/>
        </w:rPr>
        <w:t xml:space="preserve"> (nell’ipotesi in cui l’Ente si trovi nelle more di approvazione del piano da parte della Corte dei conti l’Organo di revisione ha verificato che gli equilibri di bilancio </w:t>
      </w:r>
      <w:r w:rsidRPr="00123ADD">
        <w:rPr>
          <w:rFonts w:ascii="Arial" w:eastAsia="Arial" w:hAnsi="Arial" w:cs="Arial"/>
          <w:b/>
          <w:bCs/>
          <w:i/>
          <w:iCs/>
          <w:color w:val="00B0F0"/>
          <w:szCs w:val="22"/>
        </w:rPr>
        <w:t>tengono conto</w:t>
      </w:r>
      <w:r w:rsidR="00A453AC" w:rsidRPr="00123ADD">
        <w:rPr>
          <w:rFonts w:ascii="Arial" w:eastAsia="Arial" w:hAnsi="Arial" w:cs="Arial"/>
          <w:b/>
          <w:bCs/>
          <w:i/>
          <w:iCs/>
          <w:color w:val="00B0F0"/>
          <w:szCs w:val="22"/>
        </w:rPr>
        <w:t>/non tengono conto</w:t>
      </w:r>
      <w:r>
        <w:rPr>
          <w:rFonts w:ascii="Arial" w:eastAsia="Arial" w:hAnsi="Arial" w:cs="Arial"/>
          <w:i/>
          <w:iCs/>
          <w:color w:val="00B0F0"/>
          <w:szCs w:val="22"/>
        </w:rPr>
        <w:t xml:space="preserve"> degli obiettivi programmati nel PRFP). </w:t>
      </w:r>
      <w:r w:rsidR="00480F8F">
        <w:rPr>
          <w:rFonts w:ascii="Arial" w:eastAsia="Arial" w:hAnsi="Arial" w:cs="Arial"/>
          <w:i/>
          <w:iCs/>
          <w:color w:val="00B0F0"/>
          <w:szCs w:val="22"/>
        </w:rPr>
        <w:t>(in caso di risposta negativa motivare)</w:t>
      </w:r>
    </w:p>
    <w:p w14:paraId="378470B1" w14:textId="230CE632" w:rsidR="003D2C2F" w:rsidRPr="00123ADD" w:rsidRDefault="00480F8F" w:rsidP="003D2C2F">
      <w:pPr>
        <w:ind w:hanging="2"/>
        <w:rPr>
          <w:rFonts w:ascii="Arial" w:eastAsia="Arial" w:hAnsi="Arial" w:cs="Arial"/>
          <w:i/>
          <w:iCs/>
          <w:color w:val="00B0F0"/>
          <w:szCs w:val="22"/>
        </w:rPr>
      </w:pPr>
      <w:r>
        <w:rPr>
          <w:rFonts w:ascii="Arial" w:eastAsia="Arial" w:hAnsi="Arial" w:cs="Arial"/>
          <w:i/>
          <w:iCs/>
          <w:color w:val="00B0F0"/>
          <w:szCs w:val="22"/>
        </w:rPr>
        <w:t>- l’Ente ha fatto ricorso al fondo di rotazione di cui all’art. 243 – ter del Tuel e ha rispettato le regole di contabilizzazione di cui al principio contabile 4/2 punto 3.20-bis.</w:t>
      </w:r>
      <w:r w:rsidR="001F449E">
        <w:rPr>
          <w:rFonts w:ascii="Arial" w:eastAsia="Arial" w:hAnsi="Arial" w:cs="Arial"/>
          <w:i/>
          <w:iCs/>
          <w:color w:val="00B0F0"/>
          <w:szCs w:val="22"/>
        </w:rPr>
        <w:t xml:space="preserve"> (in caso di risposta negativa motivare)</w:t>
      </w:r>
    </w:p>
    <w:p w14:paraId="5EE36366" w14:textId="4F65ECAB" w:rsidR="000F434D"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dissesto finanziario. (</w:t>
      </w:r>
      <w:r w:rsidR="000F434D" w:rsidRPr="00DB44C2">
        <w:rPr>
          <w:rFonts w:ascii="Arial" w:eastAsia="Arial" w:hAnsi="Arial" w:cs="Arial"/>
          <w:i/>
          <w:color w:val="00B0F0"/>
          <w:szCs w:val="22"/>
        </w:rPr>
        <w:t>Nel caso di risposta positiva indicare la data di avvio della procedura di risanamento finanziario</w:t>
      </w:r>
      <w:r w:rsidR="000F434D" w:rsidRPr="00DB44C2">
        <w:rPr>
          <w:rFonts w:ascii="Arial" w:eastAsia="Arial" w:hAnsi="Arial" w:cs="Arial"/>
          <w:color w:val="auto"/>
          <w:szCs w:val="22"/>
        </w:rPr>
        <w:t>)</w:t>
      </w:r>
    </w:p>
    <w:p w14:paraId="3CD745F5" w14:textId="1781672D" w:rsidR="007144D2" w:rsidRPr="00123ADD" w:rsidRDefault="007144D2" w:rsidP="00F7563F">
      <w:pPr>
        <w:ind w:hanging="2"/>
        <w:rPr>
          <w:rFonts w:ascii="Arial" w:eastAsia="Arial" w:hAnsi="Arial" w:cs="Arial"/>
          <w:color w:val="auto"/>
          <w:szCs w:val="22"/>
        </w:rPr>
      </w:pPr>
      <w:r w:rsidRPr="00123ADD">
        <w:rPr>
          <w:rFonts w:ascii="Arial" w:eastAsia="Arial" w:hAnsi="Arial" w:cs="Arial"/>
          <w:color w:val="auto"/>
          <w:szCs w:val="22"/>
        </w:rPr>
        <w:t xml:space="preserve">L’Ente </w:t>
      </w:r>
      <w:r w:rsidRPr="00123ADD">
        <w:rPr>
          <w:rFonts w:ascii="Arial" w:eastAsia="Arial" w:hAnsi="Arial" w:cs="Arial"/>
          <w:b/>
          <w:bCs/>
          <w:color w:val="auto"/>
          <w:szCs w:val="22"/>
        </w:rPr>
        <w:t>è/non è</w:t>
      </w:r>
      <w:r w:rsidRPr="00123ADD">
        <w:rPr>
          <w:rFonts w:ascii="Arial" w:eastAsia="Arial" w:hAnsi="Arial" w:cs="Arial"/>
          <w:color w:val="auto"/>
          <w:szCs w:val="22"/>
        </w:rPr>
        <w:t xml:space="preserve"> soggetto attuatore di interventi finanziati con risorse PNRR e/o PNC.</w:t>
      </w:r>
    </w:p>
    <w:p w14:paraId="26CA08BC" w14:textId="13B86E52" w:rsidR="00315670" w:rsidRPr="00123ADD" w:rsidRDefault="00315670" w:rsidP="00F7563F">
      <w:pPr>
        <w:ind w:hanging="2"/>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w:t>
      </w:r>
      <w:r w:rsidR="001F449E" w:rsidRPr="00123ADD">
        <w:rPr>
          <w:rFonts w:ascii="Arial" w:eastAsia="Arial" w:hAnsi="Arial" w:cs="Arial"/>
          <w:i/>
          <w:iCs/>
          <w:color w:val="00B0F0"/>
          <w:szCs w:val="22"/>
        </w:rPr>
        <w:t xml:space="preserve">In caso di risposta affermativa si rimanda </w:t>
      </w:r>
      <w:r w:rsidR="00A453AC" w:rsidRPr="00123ADD">
        <w:rPr>
          <w:rFonts w:ascii="Arial" w:eastAsia="Arial" w:hAnsi="Arial" w:cs="Arial"/>
          <w:i/>
          <w:iCs/>
          <w:color w:val="00B0F0"/>
          <w:szCs w:val="22"/>
        </w:rPr>
        <w:t>al paragrafo dedicato al</w:t>
      </w:r>
      <w:r w:rsidR="001F449E" w:rsidRPr="00123ADD">
        <w:rPr>
          <w:rFonts w:ascii="Arial" w:eastAsia="Arial" w:hAnsi="Arial" w:cs="Arial"/>
          <w:i/>
          <w:iCs/>
          <w:color w:val="00B0F0"/>
          <w:szCs w:val="22"/>
        </w:rPr>
        <w:t xml:space="preserve"> PNRR</w:t>
      </w:r>
      <w:r w:rsidR="005466F0" w:rsidRPr="00123ADD">
        <w:rPr>
          <w:rFonts w:ascii="Arial" w:eastAsia="Arial" w:hAnsi="Arial" w:cs="Arial"/>
          <w:i/>
          <w:iCs/>
          <w:color w:val="00B0F0"/>
          <w:szCs w:val="22"/>
        </w:rPr>
        <w:t>.</w:t>
      </w:r>
      <w:r w:rsidR="000F4AEC" w:rsidRPr="00123ADD">
        <w:rPr>
          <w:rFonts w:ascii="Arial" w:eastAsia="Arial" w:hAnsi="Arial" w:cs="Arial"/>
          <w:i/>
          <w:iCs/>
          <w:color w:val="00B0F0"/>
          <w:szCs w:val="22"/>
        </w:rPr>
        <w:t xml:space="preserve"> </w:t>
      </w:r>
    </w:p>
    <w:p w14:paraId="5856F6EE" w14:textId="582660BA" w:rsidR="000F434D" w:rsidRDefault="00867831" w:rsidP="00867831">
      <w:pPr>
        <w:pStyle w:val="Titolo1"/>
        <w:numPr>
          <w:ilvl w:val="0"/>
          <w:numId w:val="0"/>
        </w:numPr>
        <w:ind w:left="357" w:hanging="357"/>
        <w:rPr>
          <w:rFonts w:ascii="Cambria" w:eastAsia="Cambria" w:hAnsi="Cambria" w:cs="Cambria"/>
          <w:b w:val="0"/>
          <w:color w:val="000000"/>
          <w:sz w:val="32"/>
          <w:szCs w:val="32"/>
        </w:rPr>
      </w:pPr>
      <w:bookmarkStart w:id="6" w:name="_heading=h.eq11gnme9zzf" w:colFirst="0" w:colLast="0"/>
      <w:bookmarkStart w:id="7" w:name="_heading=h.pfszsb5td0ce" w:colFirst="0" w:colLast="0"/>
      <w:bookmarkStart w:id="8" w:name="_heading=h.bcbqlx6yd2un" w:colFirst="0" w:colLast="0"/>
      <w:bookmarkStart w:id="9" w:name="_heading=h.uiajjoshxh1c" w:colFirst="0" w:colLast="0"/>
      <w:bookmarkStart w:id="10" w:name="_Toc219808157"/>
      <w:bookmarkEnd w:id="6"/>
      <w:bookmarkEnd w:id="7"/>
      <w:bookmarkEnd w:id="8"/>
      <w:bookmarkEnd w:id="9"/>
      <w:r>
        <w:t>3</w:t>
      </w:r>
      <w:r w:rsidRPr="00867831">
        <w:t xml:space="preserve">. </w:t>
      </w:r>
      <w:r w:rsidR="00BF14F5">
        <w:t>DOMANDE PRELIMINARI</w:t>
      </w:r>
      <w:bookmarkEnd w:id="10"/>
    </w:p>
    <w:p w14:paraId="1B4BF795" w14:textId="749D9440"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entro il 30 novembre 202</w:t>
      </w:r>
      <w:r w:rsidR="005B7ACB">
        <w:rPr>
          <w:rFonts w:ascii="Arial" w:eastAsia="Arial" w:hAnsi="Arial" w:cs="Arial"/>
          <w:color w:val="000000"/>
          <w:szCs w:val="22"/>
        </w:rPr>
        <w:t>5</w:t>
      </w:r>
      <w:r>
        <w:rPr>
          <w:rFonts w:ascii="Arial" w:eastAsia="Arial" w:hAnsi="Arial" w:cs="Arial"/>
          <w:color w:val="000000"/>
          <w:szCs w:val="22"/>
        </w:rPr>
        <w:t xml:space="preserve"> </w:t>
      </w:r>
      <w:r w:rsidRPr="00DF0C54">
        <w:rPr>
          <w:rFonts w:ascii="Arial" w:eastAsia="Arial" w:hAnsi="Arial" w:cs="Arial"/>
          <w:b/>
          <w:iCs/>
          <w:color w:val="000000"/>
          <w:szCs w:val="22"/>
        </w:rPr>
        <w:t>ha/non</w:t>
      </w:r>
      <w:r>
        <w:rPr>
          <w:rFonts w:ascii="Arial" w:eastAsia="Arial" w:hAnsi="Arial" w:cs="Arial"/>
          <w:color w:val="000000"/>
          <w:szCs w:val="22"/>
        </w:rPr>
        <w:t xml:space="preserve"> ha aggiornato gli stanziamenti del bilancio di previsione 202</w:t>
      </w:r>
      <w:r w:rsidR="005B7ACB">
        <w:rPr>
          <w:rFonts w:ascii="Arial" w:eastAsia="Arial" w:hAnsi="Arial" w:cs="Arial"/>
          <w:color w:val="000000"/>
          <w:szCs w:val="22"/>
        </w:rPr>
        <w:t>5</w:t>
      </w:r>
      <w:r>
        <w:rPr>
          <w:rFonts w:ascii="Arial" w:eastAsia="Arial" w:hAnsi="Arial" w:cs="Arial"/>
          <w:color w:val="000000"/>
          <w:szCs w:val="22"/>
        </w:rPr>
        <w:t>-202</w:t>
      </w:r>
      <w:r w:rsidR="005B7ACB">
        <w:rPr>
          <w:rFonts w:ascii="Arial" w:eastAsia="Arial" w:hAnsi="Arial" w:cs="Arial"/>
          <w:color w:val="000000"/>
          <w:szCs w:val="22"/>
        </w:rPr>
        <w:t>7</w:t>
      </w:r>
      <w:r>
        <w:rPr>
          <w:rFonts w:ascii="Arial" w:eastAsia="Arial" w:hAnsi="Arial" w:cs="Arial"/>
          <w:color w:val="000000"/>
          <w:szCs w:val="22"/>
        </w:rPr>
        <w:t>.</w:t>
      </w:r>
    </w:p>
    <w:p w14:paraId="7194C8B0" w14:textId="43382052" w:rsidR="000F434D" w:rsidRPr="00F56672" w:rsidRDefault="000F434D" w:rsidP="000F434D">
      <w:pPr>
        <w:ind w:hanging="2"/>
        <w:rPr>
          <w:rFonts w:ascii="Arial" w:eastAsia="Arial" w:hAnsi="Arial" w:cs="Arial"/>
          <w:color w:val="00B0F0"/>
          <w:szCs w:val="22"/>
        </w:rPr>
      </w:pPr>
      <w:r>
        <w:rPr>
          <w:rFonts w:ascii="Arial" w:eastAsia="Arial" w:hAnsi="Arial" w:cs="Arial"/>
          <w:i/>
          <w:color w:val="00B0F0"/>
          <w:szCs w:val="22"/>
        </w:rPr>
        <w:t>In ca</w:t>
      </w:r>
      <w:r w:rsidRPr="00F56672">
        <w:rPr>
          <w:rFonts w:ascii="Arial" w:eastAsia="Arial" w:hAnsi="Arial" w:cs="Arial"/>
          <w:i/>
          <w:color w:val="00B0F0"/>
          <w:szCs w:val="22"/>
        </w:rPr>
        <w:t>so di risposta negativa fornire chiarimenti sugli adempimenti omessi</w:t>
      </w:r>
      <w:r w:rsidR="00352C52">
        <w:rPr>
          <w:rFonts w:ascii="Arial" w:eastAsia="Arial" w:hAnsi="Arial" w:cs="Arial"/>
          <w:i/>
          <w:color w:val="00B0F0"/>
          <w:szCs w:val="22"/>
        </w:rPr>
        <w:t xml:space="preserve"> </w:t>
      </w:r>
      <w:r w:rsidRPr="00F56672">
        <w:rPr>
          <w:rFonts w:ascii="Arial" w:eastAsia="Arial" w:hAnsi="Arial" w:cs="Arial"/>
          <w:i/>
          <w:color w:val="00B0F0"/>
          <w:szCs w:val="22"/>
        </w:rPr>
        <w:t>…………..</w:t>
      </w:r>
    </w:p>
    <w:p w14:paraId="73E3F75A" w14:textId="40677A9D" w:rsidR="000F434D" w:rsidRPr="00DB44C2" w:rsidRDefault="000F434D" w:rsidP="000F434D">
      <w:pPr>
        <w:ind w:hanging="2"/>
        <w:rPr>
          <w:rFonts w:ascii="Arial" w:eastAsia="Arial" w:hAnsi="Arial" w:cs="Arial"/>
          <w:color w:val="auto"/>
          <w:szCs w:val="22"/>
        </w:rPr>
      </w:pPr>
      <w:r w:rsidRPr="00F56672">
        <w:rPr>
          <w:rFonts w:ascii="Arial" w:eastAsia="Arial" w:hAnsi="Arial" w:cs="Arial"/>
          <w:i/>
          <w:color w:val="00B0F0"/>
          <w:szCs w:val="22"/>
        </w:rPr>
        <w:t>(</w:t>
      </w:r>
      <w:r w:rsidR="0049172B" w:rsidRPr="0049172B">
        <w:rPr>
          <w:rFonts w:ascii="Arial" w:eastAsia="Arial" w:hAnsi="Arial" w:cs="Arial"/>
          <w:b/>
          <w:bCs/>
          <w:i/>
          <w:color w:val="00B0F0"/>
          <w:szCs w:val="22"/>
        </w:rPr>
        <w:t>N.B.</w:t>
      </w:r>
      <w:r w:rsidR="0049172B">
        <w:rPr>
          <w:rFonts w:ascii="Arial" w:eastAsia="Arial" w:hAnsi="Arial" w:cs="Arial"/>
          <w:i/>
          <w:color w:val="00B0F0"/>
          <w:szCs w:val="22"/>
        </w:rPr>
        <w:t xml:space="preserve"> </w:t>
      </w:r>
      <w:r w:rsidRPr="00F56672">
        <w:rPr>
          <w:rFonts w:ascii="Arial" w:eastAsia="Arial" w:hAnsi="Arial" w:cs="Arial"/>
          <w:i/>
          <w:color w:val="00B0F0"/>
          <w:szCs w:val="22"/>
        </w:rPr>
        <w:t xml:space="preserve">Per la verifica di questa sezione si </w:t>
      </w:r>
      <w:r>
        <w:rPr>
          <w:rFonts w:ascii="Arial" w:eastAsia="Arial" w:hAnsi="Arial" w:cs="Arial"/>
          <w:i/>
          <w:color w:val="00B0F0"/>
          <w:szCs w:val="22"/>
        </w:rPr>
        <w:t>rimanda all’</w:t>
      </w:r>
      <w:r w:rsidRPr="00F56672">
        <w:rPr>
          <w:rFonts w:ascii="Arial" w:eastAsia="Arial" w:hAnsi="Arial" w:cs="Arial"/>
          <w:i/>
          <w:color w:val="00B0F0"/>
          <w:szCs w:val="22"/>
        </w:rPr>
        <w:t xml:space="preserve">apposita check list relativa alle verifiche </w:t>
      </w:r>
      <w:r w:rsidRPr="00435AB9">
        <w:rPr>
          <w:rFonts w:ascii="Arial" w:eastAsia="Arial" w:hAnsi="Arial" w:cs="Arial"/>
          <w:i/>
          <w:color w:val="00B0F0"/>
          <w:szCs w:val="22"/>
        </w:rPr>
        <w:t>preliminari</w:t>
      </w:r>
      <w:r w:rsidRPr="00DB44C2">
        <w:rPr>
          <w:rFonts w:ascii="Arial" w:eastAsia="Arial" w:hAnsi="Arial" w:cs="Arial"/>
          <w:i/>
          <w:color w:val="auto"/>
          <w:szCs w:val="22"/>
        </w:rPr>
        <w:t>)</w:t>
      </w:r>
    </w:p>
    <w:p w14:paraId="7723BD93" w14:textId="1FD8DDA1" w:rsidR="000F434D" w:rsidRPr="00DB44C2" w:rsidRDefault="000F434D" w:rsidP="000F434D">
      <w:pPr>
        <w:ind w:hanging="2"/>
        <w:rPr>
          <w:rFonts w:ascii="Arial" w:eastAsia="Arial" w:hAnsi="Arial" w:cs="Arial"/>
          <w:color w:val="auto"/>
          <w:szCs w:val="22"/>
        </w:rPr>
      </w:pPr>
      <w:r w:rsidRPr="00DB44C2">
        <w:rPr>
          <w:rFonts w:ascii="Arial" w:eastAsia="Arial" w:hAnsi="Arial" w:cs="Arial"/>
          <w:color w:val="auto"/>
          <w:szCs w:val="22"/>
        </w:rPr>
        <w:lastRenderedPageBreak/>
        <w:t xml:space="preserve">L’Organo di revisione ha verificato che l’Ente </w:t>
      </w:r>
      <w:r w:rsidRPr="00DB44C2">
        <w:rPr>
          <w:rFonts w:ascii="Arial" w:eastAsia="Arial" w:hAnsi="Arial" w:cs="Arial"/>
          <w:b/>
          <w:color w:val="auto"/>
          <w:szCs w:val="22"/>
        </w:rPr>
        <w:t>ha rispettato</w:t>
      </w:r>
      <w:r w:rsidRPr="00DB44C2">
        <w:rPr>
          <w:rFonts w:ascii="Arial" w:eastAsia="Arial" w:hAnsi="Arial" w:cs="Arial"/>
          <w:color w:val="auto"/>
          <w:szCs w:val="22"/>
        </w:rPr>
        <w:t xml:space="preserve"> i termini di legge per l’adozione del bilancio di previsione 202</w:t>
      </w:r>
      <w:r w:rsidR="005B7ACB">
        <w:rPr>
          <w:rFonts w:ascii="Arial" w:eastAsia="Arial" w:hAnsi="Arial" w:cs="Arial"/>
          <w:color w:val="auto"/>
          <w:szCs w:val="22"/>
        </w:rPr>
        <w:t>6</w:t>
      </w:r>
      <w:r w:rsidRPr="00DB44C2">
        <w:rPr>
          <w:rFonts w:ascii="Arial" w:eastAsia="Arial" w:hAnsi="Arial" w:cs="Arial"/>
          <w:color w:val="auto"/>
          <w:szCs w:val="22"/>
        </w:rPr>
        <w:t>-202</w:t>
      </w:r>
      <w:r w:rsidR="005B7ACB">
        <w:rPr>
          <w:rFonts w:ascii="Arial" w:eastAsia="Arial" w:hAnsi="Arial" w:cs="Arial"/>
          <w:color w:val="auto"/>
          <w:szCs w:val="22"/>
        </w:rPr>
        <w:t>8</w:t>
      </w:r>
      <w:r w:rsidR="00232319" w:rsidRPr="00DB44C2">
        <w:rPr>
          <w:rFonts w:ascii="Arial" w:eastAsia="Arial" w:hAnsi="Arial" w:cs="Arial"/>
          <w:color w:val="auto"/>
          <w:szCs w:val="22"/>
        </w:rPr>
        <w:t xml:space="preserve"> </w:t>
      </w:r>
      <w:r w:rsidR="00BB3565" w:rsidRPr="00DB44C2">
        <w:rPr>
          <w:rFonts w:ascii="Arial" w:eastAsia="Arial" w:hAnsi="Arial" w:cs="Arial"/>
          <w:color w:val="auto"/>
          <w:szCs w:val="22"/>
        </w:rPr>
        <w:t>adottando una procedura coerente o comunque compatibile</w:t>
      </w:r>
      <w:r w:rsidR="0059751B">
        <w:rPr>
          <w:rFonts w:ascii="Arial" w:eastAsia="Arial" w:hAnsi="Arial" w:cs="Arial"/>
          <w:color w:val="auto"/>
          <w:szCs w:val="22"/>
        </w:rPr>
        <w:t xml:space="preserve"> c</w:t>
      </w:r>
      <w:r w:rsidR="00BB3565" w:rsidRPr="00DB44C2">
        <w:rPr>
          <w:rFonts w:ascii="Arial" w:eastAsia="Arial" w:hAnsi="Arial" w:cs="Arial"/>
          <w:color w:val="auto"/>
          <w:szCs w:val="22"/>
        </w:rPr>
        <w:t xml:space="preserve">on quanto </w:t>
      </w:r>
      <w:r w:rsidR="00232319" w:rsidRPr="00DB44C2">
        <w:rPr>
          <w:rFonts w:ascii="Arial" w:eastAsia="Arial" w:hAnsi="Arial" w:cs="Arial"/>
          <w:color w:val="auto"/>
          <w:szCs w:val="22"/>
        </w:rPr>
        <w:t xml:space="preserve">previsto dal principio contabile </w:t>
      </w:r>
      <w:r w:rsidR="002F178F" w:rsidRPr="00DB44C2">
        <w:rPr>
          <w:rFonts w:ascii="Arial" w:eastAsia="Arial" w:hAnsi="Arial" w:cs="Arial"/>
          <w:color w:val="auto"/>
          <w:szCs w:val="22"/>
        </w:rPr>
        <w:t xml:space="preserve">All. 4/1 </w:t>
      </w:r>
      <w:r w:rsidR="00980DE5" w:rsidRPr="00DB44C2">
        <w:rPr>
          <w:rFonts w:ascii="Arial" w:eastAsia="Arial" w:hAnsi="Arial" w:cs="Arial"/>
          <w:color w:val="auto"/>
          <w:szCs w:val="22"/>
        </w:rPr>
        <w:t xml:space="preserve">a seguito dell’aggiornamento disposto dal </w:t>
      </w:r>
      <w:r w:rsidR="00BB3565" w:rsidRPr="00DB44C2">
        <w:rPr>
          <w:rFonts w:ascii="Arial" w:eastAsia="Arial" w:hAnsi="Arial" w:cs="Arial"/>
          <w:color w:val="auto"/>
          <w:szCs w:val="22"/>
        </w:rPr>
        <w:t xml:space="preserve">Decreto </w:t>
      </w:r>
      <w:r w:rsidR="002F178F" w:rsidRPr="00DB44C2">
        <w:rPr>
          <w:rFonts w:ascii="Arial" w:eastAsia="Arial" w:hAnsi="Arial" w:cs="Arial"/>
          <w:color w:val="auto"/>
          <w:szCs w:val="22"/>
        </w:rPr>
        <w:t>interministeriale del</w:t>
      </w:r>
      <w:r w:rsidR="00232319" w:rsidRPr="00DB44C2">
        <w:rPr>
          <w:rFonts w:ascii="Arial" w:eastAsia="Arial" w:hAnsi="Arial" w:cs="Arial"/>
          <w:color w:val="auto"/>
          <w:szCs w:val="22"/>
        </w:rPr>
        <w:t xml:space="preserve"> 25</w:t>
      </w:r>
      <w:r w:rsidR="005B7ACB">
        <w:rPr>
          <w:rFonts w:ascii="Arial" w:eastAsia="Arial" w:hAnsi="Arial" w:cs="Arial"/>
          <w:color w:val="auto"/>
          <w:szCs w:val="22"/>
        </w:rPr>
        <w:t>/</w:t>
      </w:r>
      <w:r w:rsidR="00232319" w:rsidRPr="00DB44C2">
        <w:rPr>
          <w:rFonts w:ascii="Arial" w:eastAsia="Arial" w:hAnsi="Arial" w:cs="Arial"/>
          <w:color w:val="auto"/>
          <w:szCs w:val="22"/>
        </w:rPr>
        <w:t>7</w:t>
      </w:r>
      <w:r w:rsidR="005B7ACB">
        <w:rPr>
          <w:rFonts w:ascii="Arial" w:eastAsia="Arial" w:hAnsi="Arial" w:cs="Arial"/>
          <w:color w:val="auto"/>
          <w:szCs w:val="22"/>
        </w:rPr>
        <w:t>/</w:t>
      </w:r>
      <w:r w:rsidR="007F0150" w:rsidRPr="00DB44C2">
        <w:rPr>
          <w:rFonts w:ascii="Arial" w:eastAsia="Arial" w:hAnsi="Arial" w:cs="Arial"/>
          <w:color w:val="auto"/>
          <w:szCs w:val="22"/>
        </w:rPr>
        <w:t>2023.</w:t>
      </w:r>
    </w:p>
    <w:p w14:paraId="6A02A53B" w14:textId="223DC472" w:rsidR="00232319" w:rsidRDefault="00435AB9" w:rsidP="000F434D">
      <w:pPr>
        <w:ind w:hanging="2"/>
        <w:rPr>
          <w:rFonts w:ascii="Arial" w:eastAsia="Arial" w:hAnsi="Arial" w:cs="Arial"/>
          <w:szCs w:val="22"/>
        </w:rPr>
      </w:pPr>
      <w:r>
        <w:rPr>
          <w:rFonts w:ascii="Arial" w:eastAsia="Arial" w:hAnsi="Arial" w:cs="Arial"/>
          <w:i/>
          <w:color w:val="00B0F0"/>
          <w:szCs w:val="22"/>
        </w:rPr>
        <w:t>(</w:t>
      </w:r>
      <w:r w:rsidR="00980DE5">
        <w:rPr>
          <w:rFonts w:ascii="Arial" w:eastAsia="Arial" w:hAnsi="Arial" w:cs="Arial"/>
          <w:i/>
          <w:color w:val="00B0F0"/>
          <w:szCs w:val="22"/>
        </w:rPr>
        <w:t>In ca</w:t>
      </w:r>
      <w:r w:rsidR="00980DE5" w:rsidRPr="00F56672">
        <w:rPr>
          <w:rFonts w:ascii="Arial" w:eastAsia="Arial" w:hAnsi="Arial" w:cs="Arial"/>
          <w:i/>
          <w:color w:val="00B0F0"/>
          <w:szCs w:val="22"/>
        </w:rPr>
        <w:t>so di risposta negativa</w:t>
      </w:r>
      <w:r>
        <w:rPr>
          <w:rFonts w:ascii="Arial" w:eastAsia="Arial" w:hAnsi="Arial" w:cs="Arial"/>
          <w:i/>
          <w:color w:val="00B0F0"/>
          <w:szCs w:val="22"/>
        </w:rPr>
        <w:t>)</w:t>
      </w:r>
      <w:r w:rsidR="00980DE5" w:rsidRPr="00F56672">
        <w:rPr>
          <w:rFonts w:ascii="Arial" w:eastAsia="Arial" w:hAnsi="Arial" w:cs="Arial"/>
          <w:i/>
          <w:color w:val="00B0F0"/>
          <w:szCs w:val="22"/>
        </w:rPr>
        <w:t xml:space="preserve"> </w:t>
      </w:r>
      <w:r w:rsidR="00232319" w:rsidRPr="00DB44C2">
        <w:rPr>
          <w:rFonts w:ascii="Arial" w:eastAsia="Arial" w:hAnsi="Arial" w:cs="Arial"/>
          <w:color w:val="auto"/>
          <w:szCs w:val="22"/>
        </w:rPr>
        <w:t xml:space="preserve">L’Organo di revisione ha verificato che l’Ente </w:t>
      </w:r>
      <w:r w:rsidR="00232319" w:rsidRPr="00DB44C2">
        <w:rPr>
          <w:rFonts w:ascii="Arial" w:eastAsia="Arial" w:hAnsi="Arial" w:cs="Arial"/>
          <w:b/>
          <w:color w:val="auto"/>
          <w:szCs w:val="22"/>
        </w:rPr>
        <w:t>non ha rispettato</w:t>
      </w:r>
      <w:r w:rsidR="00232319" w:rsidRPr="00DB44C2">
        <w:rPr>
          <w:rFonts w:ascii="Arial" w:eastAsia="Arial" w:hAnsi="Arial" w:cs="Arial"/>
          <w:color w:val="auto"/>
          <w:szCs w:val="22"/>
        </w:rPr>
        <w:t xml:space="preserve"> i termini di legge per l’adozione del bilancio di previsione 202</w:t>
      </w:r>
      <w:r w:rsidR="005B7ACB">
        <w:rPr>
          <w:rFonts w:ascii="Arial" w:eastAsia="Arial" w:hAnsi="Arial" w:cs="Arial"/>
          <w:color w:val="auto"/>
          <w:szCs w:val="22"/>
        </w:rPr>
        <w:t>6</w:t>
      </w:r>
      <w:r w:rsidR="00232319" w:rsidRPr="00DB44C2">
        <w:rPr>
          <w:rFonts w:ascii="Arial" w:eastAsia="Arial" w:hAnsi="Arial" w:cs="Arial"/>
          <w:color w:val="auto"/>
          <w:szCs w:val="22"/>
        </w:rPr>
        <w:t>-202</w:t>
      </w:r>
      <w:r w:rsidR="005B7ACB">
        <w:rPr>
          <w:rFonts w:ascii="Arial" w:eastAsia="Arial" w:hAnsi="Arial" w:cs="Arial"/>
          <w:color w:val="auto"/>
          <w:szCs w:val="22"/>
        </w:rPr>
        <w:t>8</w:t>
      </w:r>
      <w:r w:rsidR="00232319" w:rsidRPr="00DB44C2">
        <w:rPr>
          <w:rFonts w:ascii="Arial" w:eastAsia="Arial" w:hAnsi="Arial" w:cs="Arial"/>
          <w:color w:val="auto"/>
          <w:szCs w:val="22"/>
        </w:rPr>
        <w:t xml:space="preserve"> </w:t>
      </w:r>
      <w:r w:rsidR="002F178F" w:rsidRPr="00DB44C2">
        <w:rPr>
          <w:rFonts w:ascii="Arial" w:eastAsia="Arial" w:hAnsi="Arial" w:cs="Arial"/>
          <w:color w:val="auto"/>
          <w:szCs w:val="22"/>
        </w:rPr>
        <w:t xml:space="preserve">in base a quanto previsto dal principio contabile All. 4/1 a seguito dell’aggiornamento disposto con il </w:t>
      </w:r>
      <w:r w:rsidR="00980DE5" w:rsidRPr="00DB44C2">
        <w:rPr>
          <w:rFonts w:ascii="Arial" w:eastAsia="Arial" w:hAnsi="Arial" w:cs="Arial"/>
          <w:color w:val="auto"/>
          <w:szCs w:val="22"/>
        </w:rPr>
        <w:t>D</w:t>
      </w:r>
      <w:r w:rsidR="002F178F" w:rsidRPr="00DB44C2">
        <w:rPr>
          <w:rFonts w:ascii="Arial" w:eastAsia="Arial" w:hAnsi="Arial" w:cs="Arial"/>
          <w:color w:val="auto"/>
          <w:szCs w:val="22"/>
        </w:rPr>
        <w:t>ecreto interministeriale del 25</w:t>
      </w:r>
      <w:r w:rsidR="005B7ACB">
        <w:rPr>
          <w:rFonts w:ascii="Arial" w:eastAsia="Arial" w:hAnsi="Arial" w:cs="Arial"/>
          <w:color w:val="auto"/>
          <w:szCs w:val="22"/>
        </w:rPr>
        <w:t>/</w:t>
      </w:r>
      <w:r w:rsidR="002F178F" w:rsidRPr="00DB44C2">
        <w:rPr>
          <w:rFonts w:ascii="Arial" w:eastAsia="Arial" w:hAnsi="Arial" w:cs="Arial"/>
          <w:color w:val="auto"/>
          <w:szCs w:val="22"/>
        </w:rPr>
        <w:t>7</w:t>
      </w:r>
      <w:r w:rsidR="005B7ACB">
        <w:rPr>
          <w:rFonts w:ascii="Arial" w:eastAsia="Arial" w:hAnsi="Arial" w:cs="Arial"/>
          <w:color w:val="auto"/>
          <w:szCs w:val="22"/>
        </w:rPr>
        <w:t>/</w:t>
      </w:r>
      <w:r w:rsidR="002F178F" w:rsidRPr="00DB44C2">
        <w:rPr>
          <w:rFonts w:ascii="Arial" w:eastAsia="Arial" w:hAnsi="Arial" w:cs="Arial"/>
          <w:color w:val="auto"/>
          <w:szCs w:val="22"/>
        </w:rPr>
        <w:t xml:space="preserve">2023 </w:t>
      </w:r>
      <w:r w:rsidR="00232319" w:rsidRPr="00DB44C2">
        <w:rPr>
          <w:rFonts w:ascii="Arial" w:eastAsia="Arial" w:hAnsi="Arial" w:cs="Arial"/>
          <w:color w:val="auto"/>
          <w:szCs w:val="22"/>
        </w:rPr>
        <w:t>fornendo le seguenti motivazioni:</w:t>
      </w:r>
      <w:r w:rsidR="00352C52">
        <w:rPr>
          <w:rFonts w:ascii="Arial" w:eastAsia="Arial" w:hAnsi="Arial" w:cs="Arial"/>
          <w:color w:val="auto"/>
          <w:szCs w:val="22"/>
        </w:rPr>
        <w:t xml:space="preserve"> </w:t>
      </w:r>
      <w:r w:rsidR="00232319" w:rsidRPr="00DB44C2">
        <w:rPr>
          <w:rFonts w:ascii="Arial" w:eastAsia="Arial" w:hAnsi="Arial" w:cs="Arial"/>
          <w:color w:val="auto"/>
          <w:szCs w:val="22"/>
        </w:rPr>
        <w:t>………….</w:t>
      </w:r>
      <w:r w:rsidR="00154134">
        <w:rPr>
          <w:rFonts w:ascii="Arial" w:eastAsia="Arial" w:hAnsi="Arial" w:cs="Arial"/>
          <w:color w:val="auto"/>
          <w:szCs w:val="22"/>
        </w:rPr>
        <w:t>.</w:t>
      </w:r>
    </w:p>
    <w:p w14:paraId="45BF6E7B" w14:textId="77777777" w:rsidR="006F67A9" w:rsidRDefault="006F67A9" w:rsidP="006F67A9">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w:t>
      </w:r>
      <w:r>
        <w:rPr>
          <w:rFonts w:ascii="Arial" w:eastAsia="Arial" w:hAnsi="Arial" w:cs="Arial"/>
          <w:b/>
          <w:color w:val="000000"/>
          <w:szCs w:val="22"/>
        </w:rPr>
        <w:t>ha gestito/non ha gestito</w:t>
      </w:r>
      <w:r>
        <w:rPr>
          <w:rFonts w:ascii="Arial" w:eastAsia="Arial" w:hAnsi="Arial" w:cs="Arial"/>
          <w:color w:val="000000"/>
          <w:szCs w:val="22"/>
        </w:rPr>
        <w:t xml:space="preserve"> in esercizio provvisorio.</w:t>
      </w:r>
    </w:p>
    <w:p w14:paraId="65DDA5E3" w14:textId="16412B45" w:rsidR="00435AB9" w:rsidRDefault="00BB3565" w:rsidP="00BB3565">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Nel caso in cui </w:t>
      </w:r>
      <w:r w:rsidR="002C058A">
        <w:rPr>
          <w:rFonts w:ascii="Arial" w:eastAsia="Arial" w:hAnsi="Arial" w:cs="Arial"/>
          <w:color w:val="000000"/>
          <w:szCs w:val="22"/>
        </w:rPr>
        <w:t>l</w:t>
      </w:r>
      <w:r>
        <w:rPr>
          <w:rFonts w:ascii="Arial" w:eastAsia="Arial" w:hAnsi="Arial" w:cs="Arial"/>
          <w:color w:val="000000"/>
          <w:szCs w:val="22"/>
        </w:rPr>
        <w:t xml:space="preserve">’Ente abbia gestito in esercizio provvisorio, l’Organo di revisione ha verificato che l’Ente </w:t>
      </w:r>
      <w:r w:rsidRPr="00D82D34">
        <w:rPr>
          <w:rFonts w:ascii="Arial" w:eastAsia="Arial" w:hAnsi="Arial" w:cs="Arial"/>
          <w:b/>
          <w:bCs/>
          <w:color w:val="000000"/>
          <w:szCs w:val="22"/>
        </w:rPr>
        <w:t xml:space="preserve">si </w:t>
      </w:r>
      <w:r w:rsidR="00980DE5">
        <w:rPr>
          <w:rFonts w:ascii="Arial" w:eastAsia="Arial" w:hAnsi="Arial" w:cs="Arial"/>
          <w:b/>
          <w:bCs/>
          <w:color w:val="000000"/>
          <w:szCs w:val="22"/>
        </w:rPr>
        <w:t>è</w:t>
      </w:r>
      <w:r w:rsidRPr="00D82D34">
        <w:rPr>
          <w:rFonts w:ascii="Arial" w:eastAsia="Arial" w:hAnsi="Arial" w:cs="Arial"/>
          <w:b/>
          <w:bCs/>
          <w:color w:val="000000"/>
          <w:szCs w:val="22"/>
        </w:rPr>
        <w:t xml:space="preserve"> comun</w:t>
      </w:r>
      <w:r w:rsidR="00980DE5">
        <w:rPr>
          <w:rFonts w:ascii="Arial" w:eastAsia="Arial" w:hAnsi="Arial" w:cs="Arial"/>
          <w:b/>
          <w:bCs/>
          <w:color w:val="000000"/>
          <w:szCs w:val="22"/>
        </w:rPr>
        <w:t>q</w:t>
      </w:r>
      <w:r w:rsidRPr="00D82D34">
        <w:rPr>
          <w:rFonts w:ascii="Arial" w:eastAsia="Arial" w:hAnsi="Arial" w:cs="Arial"/>
          <w:b/>
          <w:bCs/>
          <w:color w:val="000000"/>
          <w:szCs w:val="22"/>
        </w:rPr>
        <w:t>ue attivato</w:t>
      </w:r>
      <w:r>
        <w:rPr>
          <w:rFonts w:ascii="Arial" w:eastAsia="Arial" w:hAnsi="Arial" w:cs="Arial"/>
          <w:color w:val="000000"/>
          <w:szCs w:val="22"/>
        </w:rPr>
        <w:t xml:space="preserve"> nel corso dell’esercizio 202</w:t>
      </w:r>
      <w:r w:rsidR="005B7ACB">
        <w:rPr>
          <w:rFonts w:ascii="Arial" w:eastAsia="Arial" w:hAnsi="Arial" w:cs="Arial"/>
          <w:color w:val="000000"/>
          <w:szCs w:val="22"/>
        </w:rPr>
        <w:t>5</w:t>
      </w:r>
      <w:r>
        <w:rPr>
          <w:rFonts w:ascii="Arial" w:eastAsia="Arial" w:hAnsi="Arial" w:cs="Arial"/>
          <w:color w:val="000000"/>
          <w:szCs w:val="22"/>
        </w:rPr>
        <w:t xml:space="preserve"> come indicato nel principio contabile All. 4/1.</w:t>
      </w:r>
      <w:r w:rsidR="00DC59AA">
        <w:rPr>
          <w:rFonts w:ascii="Arial" w:eastAsia="Arial" w:hAnsi="Arial" w:cs="Arial"/>
          <w:color w:val="000000"/>
          <w:szCs w:val="22"/>
        </w:rPr>
        <w:t xml:space="preserve"> </w:t>
      </w:r>
    </w:p>
    <w:p w14:paraId="1AC6723C" w14:textId="2A5AA475" w:rsidR="00DC59AA" w:rsidRPr="00DC59AA" w:rsidRDefault="00DC59AA" w:rsidP="00BB3565">
      <w:pPr>
        <w:pBdr>
          <w:top w:val="nil"/>
          <w:left w:val="nil"/>
          <w:bottom w:val="nil"/>
          <w:right w:val="nil"/>
          <w:between w:val="nil"/>
        </w:pBdr>
        <w:spacing w:line="240" w:lineRule="auto"/>
        <w:ind w:hanging="2"/>
        <w:rPr>
          <w:rFonts w:ascii="Arial" w:eastAsia="Arial" w:hAnsi="Arial" w:cs="Arial"/>
          <w:i/>
          <w:iCs/>
          <w:color w:val="00B0F0"/>
          <w:szCs w:val="22"/>
        </w:rPr>
      </w:pPr>
      <w:r w:rsidRPr="00DC59AA">
        <w:rPr>
          <w:rFonts w:ascii="Arial" w:eastAsia="Arial" w:hAnsi="Arial" w:cs="Arial"/>
          <w:i/>
          <w:iCs/>
          <w:color w:val="00B0F0"/>
          <w:szCs w:val="22"/>
        </w:rPr>
        <w:t>(</w:t>
      </w:r>
      <w:r w:rsidR="00435AB9">
        <w:rPr>
          <w:rFonts w:ascii="Arial" w:eastAsia="Arial" w:hAnsi="Arial" w:cs="Arial"/>
          <w:i/>
          <w:iCs/>
          <w:color w:val="00B0F0"/>
          <w:szCs w:val="22"/>
        </w:rPr>
        <w:t>N</w:t>
      </w:r>
      <w:r w:rsidRPr="00DC59AA">
        <w:rPr>
          <w:rFonts w:ascii="Arial" w:eastAsia="Arial" w:hAnsi="Arial" w:cs="Arial"/>
          <w:i/>
          <w:iCs/>
          <w:color w:val="00B0F0"/>
          <w:szCs w:val="22"/>
        </w:rPr>
        <w:t>el caso in cui l’Ente non si sia attivato indicare i motivi)</w:t>
      </w:r>
    </w:p>
    <w:p w14:paraId="7ED7554A" w14:textId="7D99AD3B" w:rsidR="002C058A" w:rsidRPr="00145E1F" w:rsidRDefault="00BB3565" w:rsidP="002C058A">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Nel caso di </w:t>
      </w:r>
      <w:r w:rsidRPr="00BB3565">
        <w:rPr>
          <w:rFonts w:ascii="Arial" w:eastAsia="Arial" w:hAnsi="Arial" w:cs="Arial"/>
          <w:color w:val="000000"/>
          <w:szCs w:val="22"/>
        </w:rPr>
        <w:t xml:space="preserve">autorizzazione legislativa all’esercizio provvisorio, </w:t>
      </w:r>
      <w:r w:rsidR="002C058A">
        <w:rPr>
          <w:rFonts w:ascii="Arial" w:eastAsia="Arial" w:hAnsi="Arial" w:cs="Arial"/>
          <w:color w:val="000000"/>
          <w:szCs w:val="22"/>
        </w:rPr>
        <w:t xml:space="preserve">l’Organo di revisione ha verificato che l’Ente </w:t>
      </w:r>
      <w:r w:rsidR="00271449">
        <w:rPr>
          <w:rFonts w:ascii="Arial" w:eastAsia="Arial" w:hAnsi="Arial" w:cs="Arial"/>
          <w:b/>
          <w:bCs/>
          <w:color w:val="000000"/>
          <w:szCs w:val="22"/>
        </w:rPr>
        <w:t>ha</w:t>
      </w:r>
      <w:r w:rsidR="00435AB9">
        <w:rPr>
          <w:rFonts w:ascii="Arial" w:eastAsia="Arial" w:hAnsi="Arial" w:cs="Arial"/>
          <w:b/>
          <w:bCs/>
          <w:color w:val="000000"/>
          <w:szCs w:val="22"/>
        </w:rPr>
        <w:t xml:space="preserve"> valutato</w:t>
      </w:r>
      <w:r w:rsidR="00271449">
        <w:rPr>
          <w:rFonts w:ascii="Arial" w:eastAsia="Arial" w:hAnsi="Arial" w:cs="Arial"/>
          <w:b/>
          <w:bCs/>
          <w:color w:val="000000"/>
          <w:szCs w:val="22"/>
        </w:rPr>
        <w:t>/non ha valutato</w:t>
      </w:r>
      <w:r w:rsidR="002C058A" w:rsidRPr="002C058A">
        <w:rPr>
          <w:rFonts w:ascii="Arial" w:eastAsia="Arial" w:hAnsi="Arial" w:cs="Arial"/>
          <w:color w:val="000000"/>
          <w:szCs w:val="22"/>
        </w:rPr>
        <w:t xml:space="preserve"> </w:t>
      </w:r>
      <w:r w:rsidRPr="00D82D34">
        <w:rPr>
          <w:rFonts w:ascii="Arial" w:eastAsia="Arial" w:hAnsi="Arial" w:cs="Arial"/>
          <w:color w:val="000000"/>
          <w:szCs w:val="22"/>
        </w:rPr>
        <w:t>l’effettiva necessità</w:t>
      </w:r>
      <w:r w:rsidRPr="00BB3565">
        <w:rPr>
          <w:rFonts w:ascii="Arial" w:eastAsia="Arial" w:hAnsi="Arial" w:cs="Arial"/>
          <w:b/>
          <w:bCs/>
          <w:color w:val="000000"/>
          <w:szCs w:val="22"/>
        </w:rPr>
        <w:t xml:space="preserve"> </w:t>
      </w:r>
      <w:r w:rsidRPr="00BB3565">
        <w:rPr>
          <w:rFonts w:ascii="Arial" w:eastAsia="Arial" w:hAnsi="Arial" w:cs="Arial"/>
          <w:color w:val="000000"/>
          <w:szCs w:val="22"/>
        </w:rPr>
        <w:t>di rinviare l’approvazione del bilancio di previsione</w:t>
      </w:r>
      <w:r w:rsidR="002C058A">
        <w:rPr>
          <w:rFonts w:ascii="Arial" w:eastAsia="Arial" w:hAnsi="Arial" w:cs="Arial"/>
          <w:color w:val="000000"/>
          <w:szCs w:val="22"/>
        </w:rPr>
        <w:t xml:space="preserve"> anche tenendo conto delle </w:t>
      </w:r>
      <w:r w:rsidR="002C058A" w:rsidRPr="002C058A">
        <w:rPr>
          <w:rFonts w:ascii="Arial" w:eastAsia="Arial" w:hAnsi="Arial" w:cs="Arial"/>
          <w:color w:val="000000"/>
          <w:szCs w:val="22"/>
        </w:rPr>
        <w:t>motivazioni addotte nei decreti ministeriali</w:t>
      </w:r>
      <w:r w:rsidR="002C058A">
        <w:rPr>
          <w:rFonts w:ascii="Arial" w:eastAsia="Arial" w:hAnsi="Arial" w:cs="Arial"/>
          <w:color w:val="000000"/>
          <w:szCs w:val="22"/>
        </w:rPr>
        <w:t xml:space="preserve"> che </w:t>
      </w:r>
      <w:r w:rsidR="00271449">
        <w:rPr>
          <w:rFonts w:ascii="Arial" w:eastAsia="Arial" w:hAnsi="Arial" w:cs="Arial"/>
          <w:color w:val="000000"/>
          <w:szCs w:val="22"/>
        </w:rPr>
        <w:t xml:space="preserve">ne </w:t>
      </w:r>
      <w:r w:rsidR="002C058A">
        <w:rPr>
          <w:rFonts w:ascii="Arial" w:eastAsia="Arial" w:hAnsi="Arial" w:cs="Arial"/>
          <w:color w:val="000000"/>
          <w:szCs w:val="22"/>
        </w:rPr>
        <w:t>stabiliscono il rinvio del termine di approvazione</w:t>
      </w:r>
      <w:r w:rsidR="00271449">
        <w:rPr>
          <w:rFonts w:ascii="Arial" w:eastAsia="Arial" w:hAnsi="Arial" w:cs="Arial"/>
          <w:color w:val="000000"/>
          <w:szCs w:val="22"/>
        </w:rPr>
        <w:t>.</w:t>
      </w:r>
    </w:p>
    <w:p w14:paraId="33926B52" w14:textId="63AB1FD8" w:rsidR="00DB733A" w:rsidRPr="00435AB9" w:rsidRDefault="00DB733A" w:rsidP="00DB733A">
      <w:pPr>
        <w:ind w:hanging="2"/>
        <w:rPr>
          <w:rFonts w:ascii="Arial" w:eastAsia="Arial" w:hAnsi="Arial" w:cs="Arial"/>
          <w:color w:val="000000"/>
          <w:szCs w:val="22"/>
        </w:rPr>
      </w:pPr>
      <w:r w:rsidRPr="00435AB9">
        <w:rPr>
          <w:rFonts w:ascii="Arial" w:eastAsia="Arial" w:hAnsi="Arial" w:cs="Arial"/>
          <w:color w:val="000000"/>
          <w:szCs w:val="22"/>
        </w:rPr>
        <w:t xml:space="preserve">L’Organo di revisione ha verificato che al bilancio di previsione </w:t>
      </w:r>
      <w:r w:rsidRPr="00435AB9">
        <w:rPr>
          <w:rFonts w:ascii="Arial" w:eastAsia="Arial" w:hAnsi="Arial" w:cs="Arial"/>
          <w:b/>
          <w:bCs/>
          <w:color w:val="000000"/>
          <w:szCs w:val="22"/>
        </w:rPr>
        <w:t>sono stati allegati/non sono stati allegati</w:t>
      </w:r>
      <w:r w:rsidRPr="00435AB9">
        <w:rPr>
          <w:rFonts w:ascii="Arial" w:eastAsia="Arial" w:hAnsi="Arial" w:cs="Arial"/>
          <w:color w:val="000000"/>
          <w:szCs w:val="22"/>
        </w:rPr>
        <w:t xml:space="preserve"> tutti i documenti di cui all’art. 11, co. </w:t>
      </w:r>
      <w:r w:rsidR="00160626" w:rsidRPr="00435AB9">
        <w:rPr>
          <w:rFonts w:ascii="Arial" w:eastAsia="Arial" w:hAnsi="Arial" w:cs="Arial"/>
          <w:color w:val="000000"/>
          <w:szCs w:val="22"/>
        </w:rPr>
        <w:t>3, del D.lgs.</w:t>
      </w:r>
      <w:r w:rsidRPr="00435AB9">
        <w:rPr>
          <w:rFonts w:ascii="Arial" w:eastAsia="Arial" w:hAnsi="Arial" w:cs="Arial"/>
          <w:color w:val="000000"/>
          <w:szCs w:val="22"/>
        </w:rPr>
        <w:t xml:space="preserve">  n.118/2011; al punto 9.3 del principio contabile applicato 4/1, lett. g) e lett. h); all’art. 172 TUEL e al DM 22 dicembre 2015, allegato</w:t>
      </w:r>
      <w:r w:rsidR="00435AB9">
        <w:rPr>
          <w:rFonts w:ascii="Arial" w:eastAsia="Arial" w:hAnsi="Arial" w:cs="Arial"/>
          <w:color w:val="000000"/>
          <w:szCs w:val="22"/>
        </w:rPr>
        <w:t xml:space="preserve"> </w:t>
      </w:r>
      <w:r w:rsidRPr="00435AB9">
        <w:rPr>
          <w:rFonts w:ascii="Arial" w:eastAsia="Arial" w:hAnsi="Arial" w:cs="Arial"/>
          <w:color w:val="000000"/>
          <w:szCs w:val="22"/>
        </w:rPr>
        <w:t>1.</w:t>
      </w:r>
    </w:p>
    <w:p w14:paraId="4D199208" w14:textId="12ABFF25"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L’Organo di revisione </w:t>
      </w:r>
      <w:r w:rsidRPr="00145E1F">
        <w:rPr>
          <w:rFonts w:ascii="Arial" w:eastAsia="Arial" w:hAnsi="Arial" w:cs="Arial"/>
          <w:b/>
          <w:color w:val="auto"/>
          <w:szCs w:val="22"/>
        </w:rPr>
        <w:t>è iscritto/non è iscritto</w:t>
      </w:r>
      <w:r w:rsidRPr="00145E1F">
        <w:rPr>
          <w:rFonts w:ascii="Arial" w:eastAsia="Arial" w:hAnsi="Arial" w:cs="Arial"/>
          <w:color w:val="auto"/>
          <w:szCs w:val="22"/>
        </w:rPr>
        <w:t xml:space="preserve"> alla BDAP.</w:t>
      </w:r>
    </w:p>
    <w:p w14:paraId="690410D3" w14:textId="77777777"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L’Organo di revisione ha verificato che l’Ente, prima dell’approvazione in Consiglio Comunale, abbia effettuato il pre-caricamento sulla banca dati BDAP senza rilievi e/o errori bloccanti.</w:t>
      </w:r>
    </w:p>
    <w:p w14:paraId="5C065946" w14:textId="0E3C8BDC"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L’Ente </w:t>
      </w:r>
      <w:r w:rsidRPr="00145E1F">
        <w:rPr>
          <w:rFonts w:ascii="Arial" w:eastAsia="Arial" w:hAnsi="Arial" w:cs="Arial"/>
          <w:b/>
          <w:bCs/>
          <w:color w:val="auto"/>
          <w:szCs w:val="22"/>
        </w:rPr>
        <w:t>è</w:t>
      </w:r>
      <w:r w:rsidR="00435AB9">
        <w:rPr>
          <w:rFonts w:ascii="Arial" w:eastAsia="Arial" w:hAnsi="Arial" w:cs="Arial"/>
          <w:b/>
          <w:bCs/>
          <w:color w:val="auto"/>
          <w:szCs w:val="22"/>
        </w:rPr>
        <w:t xml:space="preserve"> adempiente</w:t>
      </w:r>
      <w:r w:rsidRPr="00145E1F">
        <w:rPr>
          <w:rFonts w:ascii="Arial" w:eastAsia="Arial" w:hAnsi="Arial" w:cs="Arial"/>
          <w:b/>
          <w:bCs/>
          <w:color w:val="auto"/>
          <w:szCs w:val="22"/>
        </w:rPr>
        <w:t>/non è</w:t>
      </w:r>
      <w:r w:rsidRPr="00145E1F">
        <w:rPr>
          <w:rFonts w:ascii="Arial" w:eastAsia="Arial" w:hAnsi="Arial" w:cs="Arial"/>
          <w:color w:val="auto"/>
          <w:szCs w:val="22"/>
        </w:rPr>
        <w:t xml:space="preserve"> adempiente all’inserimento dei relativi dati e documenti in BDAP (Banca Dati delle Amministrazioni Pubbliche). </w:t>
      </w:r>
    </w:p>
    <w:p w14:paraId="7A9BBE79" w14:textId="77777777" w:rsidR="006F67A9" w:rsidRPr="00F56672" w:rsidRDefault="006F67A9" w:rsidP="006F67A9">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Si ricorda che qualora l’Ente non rispetti i termini di legge per l’approvazione del Bilancio, degli strumenti di programmazione e dell’invio dei dati alla BDAP, scatta il divieto di assunzione di cui al comma 1-quinquies e 1-octies, art.9 D.L. 113/2016, convertito con modificazioni dalla L.160/2016 nel testo modificato dall’art.1 c.904 della l.145/2018 salva la deroga aggiunta nell’ultimo periodo dall’art. 3- ter del </w:t>
      </w:r>
      <w:r>
        <w:rPr>
          <w:rFonts w:ascii="Arial" w:eastAsia="Arial" w:hAnsi="Arial" w:cs="Arial"/>
          <w:b/>
          <w:bCs/>
          <w:i/>
          <w:color w:val="00B0F0"/>
          <w:szCs w:val="22"/>
        </w:rPr>
        <w:t>D.L.</w:t>
      </w:r>
      <w:r w:rsidRPr="00F56672">
        <w:rPr>
          <w:rFonts w:ascii="Arial" w:eastAsia="Arial" w:hAnsi="Arial" w:cs="Arial"/>
          <w:b/>
          <w:bCs/>
          <w:i/>
          <w:color w:val="00B0F0"/>
          <w:szCs w:val="22"/>
        </w:rPr>
        <w:t xml:space="preserve"> 9 giugno 2021, n. 80, convertito, con modificazioni, dalla legge 6 agosto 2021, n. 113.</w:t>
      </w:r>
    </w:p>
    <w:p w14:paraId="58DC4D3B" w14:textId="01F6A2B2" w:rsidR="004E710A" w:rsidRPr="00DB44C2" w:rsidRDefault="006F67A9" w:rsidP="006F67A9">
      <w:pPr>
        <w:widowControl w:val="0"/>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L’Organo di revisione ha </w:t>
      </w:r>
      <w:r w:rsidRPr="0092413E">
        <w:rPr>
          <w:rFonts w:ascii="Arial" w:eastAsia="Arial" w:hAnsi="Arial" w:cs="Arial"/>
          <w:color w:val="auto"/>
          <w:szCs w:val="22"/>
        </w:rPr>
        <w:t xml:space="preserve">verificato che l’Ente </w:t>
      </w:r>
      <w:r w:rsidRPr="0092413E">
        <w:rPr>
          <w:rFonts w:ascii="Arial" w:eastAsia="Arial" w:hAnsi="Arial" w:cs="Arial"/>
          <w:b/>
          <w:bCs/>
          <w:color w:val="auto"/>
          <w:szCs w:val="22"/>
        </w:rPr>
        <w:t>risulta/non risulta</w:t>
      </w:r>
      <w:r w:rsidRPr="0092413E">
        <w:rPr>
          <w:rFonts w:ascii="Arial" w:eastAsia="Arial" w:hAnsi="Arial" w:cs="Arial"/>
          <w:color w:val="auto"/>
          <w:szCs w:val="22"/>
        </w:rPr>
        <w:t xml:space="preserve"> strutturalmente deficitario</w:t>
      </w:r>
      <w:r w:rsidR="004E710A" w:rsidRPr="0092413E">
        <w:rPr>
          <w:rFonts w:ascii="Arial" w:eastAsia="Arial" w:hAnsi="Arial" w:cs="Arial"/>
          <w:color w:val="auto"/>
          <w:szCs w:val="22"/>
        </w:rPr>
        <w:t xml:space="preserve"> sulla base dei parametri individuati con Decreto interministeriale del 4 agosto 2023</w:t>
      </w:r>
      <w:r w:rsidR="0092413E">
        <w:rPr>
          <w:rFonts w:ascii="Arial" w:eastAsia="Arial" w:hAnsi="Arial" w:cs="Arial"/>
          <w:color w:val="auto"/>
          <w:szCs w:val="22"/>
        </w:rPr>
        <w:t>.</w:t>
      </w:r>
    </w:p>
    <w:p w14:paraId="158F438F" w14:textId="01CFA323" w:rsidR="006F67A9" w:rsidRPr="00DB44C2"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Qualora l’Ente risulti strutturalmente deficitario </w:t>
      </w:r>
      <w:r w:rsidRPr="00DB44C2">
        <w:rPr>
          <w:rFonts w:ascii="Arial" w:eastAsia="Arial" w:hAnsi="Arial" w:cs="Arial"/>
          <w:b/>
          <w:bCs/>
          <w:color w:val="auto"/>
          <w:szCs w:val="22"/>
        </w:rPr>
        <w:t>è stato</w:t>
      </w:r>
      <w:r w:rsidR="00435AB9">
        <w:rPr>
          <w:rFonts w:ascii="Arial" w:eastAsia="Arial" w:hAnsi="Arial" w:cs="Arial"/>
          <w:b/>
          <w:bCs/>
          <w:color w:val="auto"/>
          <w:szCs w:val="22"/>
        </w:rPr>
        <w:t xml:space="preserve"> rispettato</w:t>
      </w:r>
      <w:r w:rsidRPr="00DB44C2">
        <w:rPr>
          <w:rFonts w:ascii="Arial" w:eastAsia="Arial" w:hAnsi="Arial" w:cs="Arial"/>
          <w:b/>
          <w:bCs/>
          <w:color w:val="auto"/>
          <w:szCs w:val="22"/>
        </w:rPr>
        <w:t>/non è stato</w:t>
      </w:r>
      <w:r w:rsidRPr="00DB44C2">
        <w:rPr>
          <w:rFonts w:ascii="Arial" w:eastAsia="Arial" w:hAnsi="Arial" w:cs="Arial"/>
          <w:color w:val="auto"/>
          <w:szCs w:val="22"/>
        </w:rPr>
        <w:t xml:space="preserve"> </w:t>
      </w:r>
      <w:r w:rsidRPr="00435AB9">
        <w:rPr>
          <w:rFonts w:ascii="Arial" w:eastAsia="Arial" w:hAnsi="Arial" w:cs="Arial"/>
          <w:b/>
          <w:bCs/>
          <w:color w:val="auto"/>
          <w:szCs w:val="22"/>
        </w:rPr>
        <w:t>rispettato</w:t>
      </w:r>
      <w:r w:rsidRPr="00DB44C2">
        <w:rPr>
          <w:rFonts w:ascii="Arial" w:eastAsia="Arial" w:hAnsi="Arial" w:cs="Arial"/>
          <w:color w:val="auto"/>
          <w:szCs w:val="22"/>
        </w:rPr>
        <w:t xml:space="preserve"> l’obbligo di copertura dei costi dei servizi ai sensi dell’articolo 234 comma 2 del TUEL.</w:t>
      </w:r>
    </w:p>
    <w:p w14:paraId="007E9B65" w14:textId="35AED93E" w:rsidR="007F0150" w:rsidRDefault="007F0150" w:rsidP="007F0150">
      <w:pPr>
        <w:pStyle w:val="Titolo1"/>
        <w:numPr>
          <w:ilvl w:val="0"/>
          <w:numId w:val="0"/>
        </w:numPr>
        <w:ind w:left="357" w:hanging="357"/>
        <w:rPr>
          <w:rFonts w:ascii="Cambria" w:eastAsia="Cambria" w:hAnsi="Cambria" w:cs="Cambria"/>
          <w:b w:val="0"/>
          <w:color w:val="000000"/>
          <w:sz w:val="32"/>
          <w:szCs w:val="32"/>
        </w:rPr>
      </w:pPr>
      <w:bookmarkStart w:id="11" w:name="_Toc219808158"/>
      <w:r>
        <w:lastRenderedPageBreak/>
        <w:t>4. VERIFICHE SULLA PROGRAMMAZIONE</w:t>
      </w:r>
      <w:bookmarkEnd w:id="11"/>
    </w:p>
    <w:p w14:paraId="181BB7AE" w14:textId="1B91DA1D" w:rsidR="000F434D" w:rsidRPr="00305F9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color w:val="auto"/>
          <w:szCs w:val="22"/>
        </w:rPr>
        <w:t>ha rispettato/non ha rispettato</w:t>
      </w:r>
      <w:r w:rsidRPr="00305F9B">
        <w:rPr>
          <w:rFonts w:ascii="Arial" w:eastAsia="Arial" w:hAnsi="Arial" w:cs="Arial"/>
          <w:color w:val="auto"/>
          <w:szCs w:val="22"/>
        </w:rPr>
        <w:t xml:space="preserve"> i termini di legge per l’adozione degli strumenti di programmazione (previsti dall’allegato 4/1 del </w:t>
      </w:r>
      <w:r w:rsidR="00580948">
        <w:rPr>
          <w:rFonts w:ascii="Arial" w:eastAsia="Arial" w:hAnsi="Arial" w:cs="Arial"/>
          <w:color w:val="auto"/>
          <w:szCs w:val="22"/>
        </w:rPr>
        <w:t>D</w:t>
      </w:r>
      <w:r w:rsidRPr="00305F9B">
        <w:rPr>
          <w:rFonts w:ascii="Arial" w:eastAsia="Arial" w:hAnsi="Arial" w:cs="Arial"/>
          <w:color w:val="auto"/>
          <w:szCs w:val="22"/>
        </w:rPr>
        <w:t>.lgs. n.118/2011).</w:t>
      </w:r>
    </w:p>
    <w:p w14:paraId="04078EBA" w14:textId="469F2374" w:rsidR="00FB2A3F" w:rsidRPr="00305F9B" w:rsidRDefault="00274695"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Con riferimento alla verifica della coerenza delle previsioni l</w:t>
      </w:r>
      <w:r w:rsidR="00FB2A3F" w:rsidRPr="00305F9B">
        <w:rPr>
          <w:rFonts w:ascii="Arial" w:eastAsia="Arial" w:hAnsi="Arial" w:cs="Arial"/>
          <w:color w:val="auto"/>
          <w:szCs w:val="22"/>
        </w:rPr>
        <w:t>’Organo di revisione sul Documento Unico di programmazione</w:t>
      </w:r>
      <w:r w:rsidR="00DC59AA" w:rsidRPr="00305F9B">
        <w:rPr>
          <w:rFonts w:ascii="Arial" w:eastAsia="Arial" w:hAnsi="Arial" w:cs="Arial"/>
          <w:color w:val="auto"/>
          <w:szCs w:val="22"/>
        </w:rPr>
        <w:t xml:space="preserve"> (DUP)</w:t>
      </w:r>
      <w:r w:rsidR="008F18DF" w:rsidRPr="00305F9B">
        <w:rPr>
          <w:rFonts w:ascii="Arial" w:eastAsia="Arial" w:hAnsi="Arial" w:cs="Arial"/>
          <w:color w:val="auto"/>
          <w:szCs w:val="22"/>
        </w:rPr>
        <w:t>, approvato dal Consiglio comunale con deliberazione n._____ del_____,</w:t>
      </w:r>
      <w:r w:rsidR="00FB2A3F" w:rsidRPr="00305F9B">
        <w:rPr>
          <w:rFonts w:ascii="Arial" w:eastAsia="Arial" w:hAnsi="Arial" w:cs="Arial"/>
          <w:color w:val="auto"/>
          <w:szCs w:val="22"/>
        </w:rPr>
        <w:t xml:space="preserve"> ha espresso parere con verbale n….. del ……. attestando la sua coerenza, attendibilità e congruità. </w:t>
      </w:r>
    </w:p>
    <w:p w14:paraId="31196BC5" w14:textId="6BD251C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FB2A3F">
        <w:rPr>
          <w:rFonts w:ascii="Arial" w:eastAsia="Arial" w:hAnsi="Arial" w:cs="Arial"/>
          <w:szCs w:val="22"/>
        </w:rPr>
        <w:t>(</w:t>
      </w:r>
      <w:r w:rsidRPr="00E73D7F">
        <w:rPr>
          <w:rFonts w:ascii="Arial" w:eastAsia="Arial" w:hAnsi="Arial" w:cs="Arial"/>
          <w:i/>
          <w:iCs/>
          <w:szCs w:val="22"/>
        </w:rPr>
        <w:t>oppure</w:t>
      </w:r>
      <w:r w:rsidRPr="00FB2A3F">
        <w:rPr>
          <w:rFonts w:ascii="Arial" w:eastAsia="Arial" w:hAnsi="Arial" w:cs="Arial"/>
          <w:szCs w:val="22"/>
        </w:rPr>
        <w:t>)</w:t>
      </w:r>
      <w:r w:rsidR="00435AB9">
        <w:rPr>
          <w:rFonts w:ascii="Arial" w:eastAsia="Arial" w:hAnsi="Arial" w:cs="Arial"/>
          <w:szCs w:val="22"/>
        </w:rPr>
        <w:t xml:space="preserve"> </w:t>
      </w:r>
      <w:r w:rsidRPr="00305F9B">
        <w:rPr>
          <w:rFonts w:ascii="Arial" w:eastAsia="Arial" w:hAnsi="Arial" w:cs="Arial"/>
          <w:color w:val="auto"/>
          <w:szCs w:val="22"/>
        </w:rPr>
        <w:t>rilevando le seguenti criticità in ordine alla coerenza, attendibilità e congruità.</w:t>
      </w:r>
    </w:p>
    <w:p w14:paraId="37482262" w14:textId="77777777" w:rsidR="00FB2A3F" w:rsidRPr="00305F9B" w:rsidRDefault="00FB2A3F"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1C979491" w14:textId="2D00A662" w:rsidR="00274695" w:rsidRPr="00305F9B" w:rsidRDefault="00274695"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4DC0F836" w14:textId="77777777" w:rsidR="00557582" w:rsidRPr="00305F9B" w:rsidRDefault="00557582" w:rsidP="00274695">
      <w:pPr>
        <w:pBdr>
          <w:top w:val="nil"/>
          <w:left w:val="nil"/>
          <w:bottom w:val="nil"/>
          <w:right w:val="nil"/>
          <w:between w:val="nil"/>
        </w:pBdr>
        <w:spacing w:line="240" w:lineRule="auto"/>
        <w:rPr>
          <w:rFonts w:ascii="Arial" w:eastAsia="Arial" w:hAnsi="Arial" w:cs="Arial"/>
          <w:color w:val="auto"/>
          <w:szCs w:val="22"/>
        </w:rPr>
      </w:pPr>
    </w:p>
    <w:p w14:paraId="655BDDD2" w14:textId="7777777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sulla nota di aggiornamento al DUP ha espresso parere con verbale n….. del ……. attestando la sua coerenza, attendibilità e congruità. </w:t>
      </w:r>
    </w:p>
    <w:p w14:paraId="599287CC" w14:textId="314A4293"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305F9B">
        <w:rPr>
          <w:rFonts w:ascii="Arial" w:eastAsia="Arial" w:hAnsi="Arial" w:cs="Arial"/>
          <w:i/>
          <w:iCs/>
          <w:color w:val="auto"/>
          <w:szCs w:val="22"/>
        </w:rPr>
        <w:t>oppure</w:t>
      </w:r>
      <w:r w:rsidRPr="00305F9B">
        <w:rPr>
          <w:rFonts w:ascii="Arial" w:eastAsia="Arial" w:hAnsi="Arial" w:cs="Arial"/>
          <w:color w:val="auto"/>
          <w:szCs w:val="22"/>
        </w:rPr>
        <w:t>)</w:t>
      </w:r>
      <w:r w:rsidR="00435AB9">
        <w:rPr>
          <w:rFonts w:ascii="Arial" w:eastAsia="Arial" w:hAnsi="Arial" w:cs="Arial"/>
          <w:color w:val="auto"/>
          <w:szCs w:val="22"/>
        </w:rPr>
        <w:t xml:space="preserve"> </w:t>
      </w:r>
      <w:r w:rsidRPr="00305F9B">
        <w:rPr>
          <w:rFonts w:ascii="Arial" w:eastAsia="Arial" w:hAnsi="Arial" w:cs="Arial"/>
          <w:color w:val="auto"/>
          <w:szCs w:val="22"/>
        </w:rPr>
        <w:t>rilevando le seguenti criticità in ordine alla coerenza, attendibilità e congruità.</w:t>
      </w:r>
    </w:p>
    <w:p w14:paraId="1396612F" w14:textId="0AD440C0" w:rsidR="0029715C" w:rsidRPr="00FB2A3F" w:rsidRDefault="00274695" w:rsidP="00FB2A3F">
      <w:pPr>
        <w:pBdr>
          <w:top w:val="nil"/>
          <w:left w:val="nil"/>
          <w:bottom w:val="nil"/>
          <w:right w:val="nil"/>
          <w:between w:val="nil"/>
        </w:pBdr>
        <w:spacing w:line="240" w:lineRule="auto"/>
        <w:ind w:hanging="2"/>
        <w:rPr>
          <w:rFonts w:ascii="Arial" w:eastAsia="Arial" w:hAnsi="Arial" w:cs="Arial"/>
          <w:szCs w:val="22"/>
        </w:rPr>
      </w:pPr>
      <w:r w:rsidRPr="00305F9B">
        <w:rPr>
          <w:rFonts w:ascii="Arial" w:eastAsia="Arial" w:hAnsi="Arial" w:cs="Arial"/>
          <w:color w:val="auto"/>
          <w:szCs w:val="22"/>
        </w:rPr>
        <w:t>L’Organo di revisione ha verificato che i</w:t>
      </w:r>
      <w:r w:rsidR="00FB2A3F" w:rsidRPr="00305F9B">
        <w:rPr>
          <w:rFonts w:ascii="Arial" w:eastAsia="Arial" w:hAnsi="Arial" w:cs="Arial"/>
          <w:color w:val="auto"/>
          <w:szCs w:val="22"/>
        </w:rPr>
        <w:t>l DUP</w:t>
      </w:r>
      <w:r w:rsidR="00FA183A" w:rsidRPr="00305F9B">
        <w:rPr>
          <w:rFonts w:ascii="Arial" w:eastAsia="Arial" w:hAnsi="Arial" w:cs="Arial"/>
          <w:color w:val="auto"/>
          <w:szCs w:val="22"/>
        </w:rPr>
        <w:t xml:space="preserve"> e la nota di aggiornamento al DUP</w:t>
      </w:r>
      <w:r w:rsidR="00FB2A3F" w:rsidRPr="00305F9B">
        <w:rPr>
          <w:rFonts w:ascii="Arial" w:eastAsia="Arial" w:hAnsi="Arial" w:cs="Arial"/>
          <w:color w:val="auto"/>
          <w:szCs w:val="22"/>
        </w:rPr>
        <w:t xml:space="preserve"> cont</w:t>
      </w:r>
      <w:r w:rsidR="00FA183A" w:rsidRPr="00305F9B">
        <w:rPr>
          <w:rFonts w:ascii="Arial" w:eastAsia="Arial" w:hAnsi="Arial" w:cs="Arial"/>
          <w:color w:val="auto"/>
          <w:szCs w:val="22"/>
        </w:rPr>
        <w:t>engono</w:t>
      </w:r>
      <w:r w:rsidR="00FB2A3F" w:rsidRPr="00305F9B">
        <w:rPr>
          <w:rFonts w:ascii="Arial" w:eastAsia="Arial" w:hAnsi="Arial" w:cs="Arial"/>
          <w:color w:val="auto"/>
          <w:szCs w:val="22"/>
        </w:rPr>
        <w:t xml:space="preserve"> i seguenti strumenti obbligatori di programmazione di settore:</w:t>
      </w:r>
    </w:p>
    <w:p w14:paraId="59920B71" w14:textId="1087B924"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triennale </w:t>
      </w:r>
      <w:r w:rsidR="00E4497E">
        <w:rPr>
          <w:rFonts w:ascii="Arial" w:eastAsia="Arial" w:hAnsi="Arial" w:cs="Arial"/>
          <w:b/>
          <w:bCs/>
          <w:i/>
          <w:iCs/>
          <w:color w:val="auto"/>
          <w:szCs w:val="22"/>
          <w:u w:val="single"/>
        </w:rPr>
        <w:t xml:space="preserve">ed elenco annuale dei </w:t>
      </w:r>
      <w:r w:rsidRPr="00305F9B">
        <w:rPr>
          <w:rFonts w:ascii="Arial" w:eastAsia="Arial" w:hAnsi="Arial" w:cs="Arial"/>
          <w:b/>
          <w:bCs/>
          <w:i/>
          <w:iCs/>
          <w:color w:val="auto"/>
          <w:szCs w:val="22"/>
          <w:u w:val="single"/>
        </w:rPr>
        <w:t>lavori pubblici</w:t>
      </w:r>
    </w:p>
    <w:p w14:paraId="7E44C3B8" w14:textId="45693C4A" w:rsidR="00FB2A3F" w:rsidRPr="00305F9B" w:rsidRDefault="00FB2A3F" w:rsidP="00FA183A">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triennale ed elenco annuale dei lavori pubblici</w:t>
      </w:r>
      <w:r w:rsidR="007F0150" w:rsidRPr="00305F9B">
        <w:rPr>
          <w:rFonts w:ascii="Arial" w:eastAsia="Arial" w:hAnsi="Arial" w:cs="Arial"/>
          <w:color w:val="auto"/>
          <w:szCs w:val="22"/>
        </w:rPr>
        <w:t>,</w:t>
      </w:r>
      <w:r w:rsidRPr="00305F9B">
        <w:rPr>
          <w:rFonts w:ascii="Arial" w:eastAsia="Arial" w:hAnsi="Arial" w:cs="Arial"/>
          <w:color w:val="auto"/>
          <w:szCs w:val="22"/>
        </w:rPr>
        <w:t xml:space="preserve"> </w:t>
      </w:r>
      <w:r w:rsidR="00FA183A" w:rsidRPr="00305F9B">
        <w:rPr>
          <w:rFonts w:ascii="Arial" w:eastAsia="Arial" w:hAnsi="Arial" w:cs="Arial"/>
          <w:color w:val="auto"/>
          <w:szCs w:val="22"/>
        </w:rPr>
        <w:t xml:space="preserve">di cui all’art. 37 del </w:t>
      </w:r>
      <w:r w:rsidR="00580948">
        <w:rPr>
          <w:rFonts w:ascii="Arial" w:eastAsia="Arial" w:hAnsi="Arial" w:cs="Arial"/>
          <w:color w:val="auto"/>
          <w:szCs w:val="22"/>
        </w:rPr>
        <w:t>D</w:t>
      </w:r>
      <w:r w:rsidR="00FA183A" w:rsidRPr="00305F9B">
        <w:rPr>
          <w:rFonts w:ascii="Arial" w:eastAsia="Arial" w:hAnsi="Arial" w:cs="Arial"/>
          <w:color w:val="auto"/>
          <w:szCs w:val="22"/>
        </w:rPr>
        <w:t>.lgs. n.36 del 31 marzo 2023</w:t>
      </w:r>
      <w:r w:rsidR="007F0150" w:rsidRPr="00305F9B">
        <w:rPr>
          <w:rFonts w:ascii="Arial" w:eastAsia="Arial" w:hAnsi="Arial" w:cs="Arial"/>
          <w:color w:val="auto"/>
          <w:szCs w:val="22"/>
        </w:rPr>
        <w:t>,</w:t>
      </w:r>
      <w:r w:rsidR="00FA183A" w:rsidRPr="00305F9B">
        <w:rPr>
          <w:rFonts w:ascii="Arial" w:eastAsia="Arial" w:hAnsi="Arial" w:cs="Arial"/>
          <w:color w:val="auto"/>
          <w:szCs w:val="22"/>
        </w:rPr>
        <w:t xml:space="preserve"> è redatto secondo lo schema tipo di cui all'allegato I.5 al nuovo Codice.</w:t>
      </w:r>
    </w:p>
    <w:p w14:paraId="2F1572E4" w14:textId="1DE81333" w:rsidR="00FB2A3F" w:rsidRPr="00DC59AA" w:rsidRDefault="00FB2A3F" w:rsidP="00FB2A3F">
      <w:pPr>
        <w:pBdr>
          <w:top w:val="nil"/>
          <w:left w:val="nil"/>
          <w:bottom w:val="nil"/>
          <w:right w:val="nil"/>
          <w:between w:val="nil"/>
        </w:pBdr>
        <w:spacing w:line="240" w:lineRule="auto"/>
        <w:ind w:hanging="2"/>
        <w:rPr>
          <w:rFonts w:ascii="Arial" w:eastAsia="Arial" w:hAnsi="Arial" w:cs="Arial"/>
          <w:color w:val="00B0F0"/>
          <w:szCs w:val="22"/>
        </w:rPr>
      </w:pPr>
      <w:r w:rsidRPr="00DC59AA">
        <w:rPr>
          <w:rFonts w:ascii="Arial" w:eastAsia="Arial" w:hAnsi="Arial" w:cs="Arial"/>
          <w:color w:val="00B0F0"/>
          <w:szCs w:val="22"/>
        </w:rPr>
        <w:t>(</w:t>
      </w:r>
      <w:r w:rsidRPr="00DC59AA">
        <w:rPr>
          <w:rFonts w:ascii="Arial" w:eastAsia="Arial" w:hAnsi="Arial" w:cs="Arial"/>
          <w:i/>
          <w:iCs/>
          <w:color w:val="00B0F0"/>
          <w:szCs w:val="22"/>
        </w:rPr>
        <w:t xml:space="preserve">Nel caso in cui gli </w:t>
      </w:r>
      <w:r w:rsidR="00DC59AA">
        <w:rPr>
          <w:rFonts w:ascii="Arial" w:eastAsia="Arial" w:hAnsi="Arial" w:cs="Arial"/>
          <w:i/>
          <w:iCs/>
          <w:color w:val="00B0F0"/>
          <w:szCs w:val="22"/>
        </w:rPr>
        <w:t>E</w:t>
      </w:r>
      <w:r w:rsidRPr="00DC59AA">
        <w:rPr>
          <w:rFonts w:ascii="Arial" w:eastAsia="Arial" w:hAnsi="Arial" w:cs="Arial"/>
          <w:i/>
          <w:iCs/>
          <w:color w:val="00B0F0"/>
          <w:szCs w:val="22"/>
        </w:rPr>
        <w:t>nti non provvedano alla redazione del programma triennale dei lavori pubblici, per assenza di lavori, ne danno comunicazione sul profilo del committente nella sezione “Amministrazione trasparente”)</w:t>
      </w:r>
    </w:p>
    <w:p w14:paraId="26A8DEAC" w14:textId="2F1A1687" w:rsidR="00FA183A" w:rsidRPr="00305F9B" w:rsidRDefault="00FA183A"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espone interventi di investimento uguali o superiori a 150.000,00</w:t>
      </w:r>
      <w:r w:rsidR="00435AB9">
        <w:rPr>
          <w:rFonts w:ascii="Arial" w:eastAsia="Arial" w:hAnsi="Arial" w:cs="Arial"/>
          <w:color w:val="auto"/>
          <w:szCs w:val="22"/>
        </w:rPr>
        <w:t xml:space="preserve"> </w:t>
      </w:r>
      <w:r w:rsidR="00160626">
        <w:rPr>
          <w:rFonts w:ascii="Arial" w:eastAsia="Arial" w:hAnsi="Arial" w:cs="Arial"/>
          <w:color w:val="auto"/>
          <w:szCs w:val="22"/>
        </w:rPr>
        <w:t>euro</w:t>
      </w:r>
      <w:r w:rsidRPr="00305F9B">
        <w:rPr>
          <w:rFonts w:ascii="Arial" w:eastAsia="Arial" w:hAnsi="Arial" w:cs="Arial"/>
          <w:color w:val="auto"/>
          <w:szCs w:val="22"/>
        </w:rPr>
        <w:t>.</w:t>
      </w:r>
    </w:p>
    <w:p w14:paraId="2BEFF80C" w14:textId="6B303D6C"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risulta coerente anche con i progetti PNRR, per i quali non si applica il nuovo codice dei contratti pubblici (rif.</w:t>
      </w:r>
      <w:r w:rsidR="004E710A" w:rsidRPr="00305F9B">
        <w:rPr>
          <w:rFonts w:ascii="Arial" w:eastAsia="Arial" w:hAnsi="Arial" w:cs="Arial"/>
          <w:color w:val="auto"/>
          <w:szCs w:val="22"/>
        </w:rPr>
        <w:t xml:space="preserve"> </w:t>
      </w:r>
      <w:r w:rsidR="00435AB9">
        <w:rPr>
          <w:rFonts w:ascii="Arial" w:eastAsia="Arial" w:hAnsi="Arial" w:cs="Arial"/>
          <w:color w:val="auto"/>
          <w:szCs w:val="22"/>
        </w:rPr>
        <w:t>a</w:t>
      </w:r>
      <w:r w:rsidRPr="00305F9B">
        <w:rPr>
          <w:rFonts w:ascii="Arial" w:eastAsia="Arial" w:hAnsi="Arial" w:cs="Arial"/>
          <w:color w:val="auto"/>
          <w:szCs w:val="22"/>
        </w:rPr>
        <w:t>rt. 225 co. 8 del D.lgs. 31 marzo 2023 n. 36 “</w:t>
      </w:r>
      <w:r w:rsidRPr="00305F9B">
        <w:rPr>
          <w:rFonts w:ascii="Arial" w:eastAsia="Arial" w:hAnsi="Arial" w:cs="Arial"/>
          <w:i/>
          <w:iCs/>
          <w:color w:val="auto"/>
          <w:szCs w:val="22"/>
        </w:rPr>
        <w:t>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D.L. n. 77/2021, convertito, con modificazioni, dalla legge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r w:rsidRPr="00305F9B">
        <w:rPr>
          <w:rFonts w:ascii="Arial" w:eastAsia="Arial" w:hAnsi="Arial" w:cs="Arial"/>
          <w:color w:val="auto"/>
          <w:szCs w:val="22"/>
        </w:rPr>
        <w:t xml:space="preserve">”). </w:t>
      </w:r>
    </w:p>
    <w:p w14:paraId="276A4C3E" w14:textId="7A9D5E90"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triennale, dopo la sua approvazione consiliare, dovrà essere pubblicato sul sito </w:t>
      </w:r>
      <w:r w:rsidR="009C323B" w:rsidRPr="00305F9B">
        <w:rPr>
          <w:rFonts w:ascii="Arial" w:eastAsia="Arial" w:hAnsi="Arial" w:cs="Arial"/>
          <w:color w:val="auto"/>
          <w:szCs w:val="22"/>
        </w:rPr>
        <w:t xml:space="preserve">istituzionale </w:t>
      </w:r>
      <w:r w:rsidRPr="00305F9B">
        <w:rPr>
          <w:rFonts w:ascii="Arial" w:eastAsia="Arial" w:hAnsi="Arial" w:cs="Arial"/>
          <w:color w:val="auto"/>
          <w:szCs w:val="22"/>
        </w:rPr>
        <w:t xml:space="preserve">nella sezione “Amministrazione trasparente” e </w:t>
      </w:r>
      <w:r w:rsidR="009C323B" w:rsidRPr="00305F9B">
        <w:rPr>
          <w:rFonts w:ascii="Arial" w:eastAsia="Arial" w:hAnsi="Arial" w:cs="Arial"/>
          <w:color w:val="auto"/>
          <w:szCs w:val="22"/>
        </w:rPr>
        <w:t>nella Banca dati nazionale dei contratti pubblici.</w:t>
      </w:r>
    </w:p>
    <w:p w14:paraId="024340C4" w14:textId="694B0480" w:rsidR="00E4497E" w:rsidRPr="00305F9B" w:rsidRDefault="00E4497E" w:rsidP="00E4497E">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lastRenderedPageBreak/>
        <w:t xml:space="preserve">Piano delle alienazioni e valorizzazioni immobiliari </w:t>
      </w:r>
    </w:p>
    <w:p w14:paraId="6918403F"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435AB9">
        <w:rPr>
          <w:rFonts w:ascii="Arial" w:eastAsia="Arial" w:hAnsi="Arial" w:cs="Arial"/>
          <w:i/>
          <w:iCs/>
          <w:color w:val="00B0F0"/>
          <w:szCs w:val="22"/>
        </w:rPr>
        <w:t>se approvato distintamente dal DUP</w:t>
      </w:r>
      <w:r w:rsidRPr="00305F9B">
        <w:rPr>
          <w:rFonts w:ascii="Arial" w:eastAsia="Arial" w:hAnsi="Arial" w:cs="Arial"/>
          <w:color w:val="auto"/>
          <w:szCs w:val="22"/>
        </w:rPr>
        <w:t>) Il piano delle alienazioni e valorizzazioni immobiliari, di cui all’art. 58, comma 1, del D.L. 25 giugno 2008, n. 112 convertito con modificazioni dalla L. 6 agosto 2008, n. 133, è redatto e approvato dalla Giunta con deliberazione del_____</w:t>
      </w:r>
    </w:p>
    <w:p w14:paraId="62658EB3"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L’Organo di revisione ha espresso parere obbligatorio quale strumento di programmazione con verbale n…….. del ……………</w:t>
      </w:r>
    </w:p>
    <w:p w14:paraId="5746F88C" w14:textId="46AEB20A"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Programma</w:t>
      </w:r>
      <w:r w:rsidR="009C323B" w:rsidRPr="00305F9B">
        <w:rPr>
          <w:rFonts w:ascii="Arial" w:eastAsia="Arial" w:hAnsi="Arial" w:cs="Arial"/>
          <w:b/>
          <w:bCs/>
          <w:i/>
          <w:iCs/>
          <w:color w:val="auto"/>
          <w:szCs w:val="22"/>
          <w:u w:val="single"/>
        </w:rPr>
        <w:t xml:space="preserve"> triennale</w:t>
      </w:r>
      <w:r w:rsidRPr="00305F9B">
        <w:rPr>
          <w:rFonts w:ascii="Arial" w:eastAsia="Arial" w:hAnsi="Arial" w:cs="Arial"/>
          <w:b/>
          <w:bCs/>
          <w:i/>
          <w:iCs/>
          <w:color w:val="auto"/>
          <w:szCs w:val="22"/>
          <w:u w:val="single"/>
        </w:rPr>
        <w:t xml:space="preserve"> d</w:t>
      </w:r>
      <w:r w:rsidR="009C323B" w:rsidRPr="00305F9B">
        <w:rPr>
          <w:rFonts w:ascii="Arial" w:eastAsia="Arial" w:hAnsi="Arial" w:cs="Arial"/>
          <w:b/>
          <w:bCs/>
          <w:i/>
          <w:iCs/>
          <w:color w:val="auto"/>
          <w:szCs w:val="22"/>
          <w:u w:val="single"/>
        </w:rPr>
        <w:t>egl</w:t>
      </w:r>
      <w:r w:rsidRPr="00305F9B">
        <w:rPr>
          <w:rFonts w:ascii="Arial" w:eastAsia="Arial" w:hAnsi="Arial" w:cs="Arial"/>
          <w:b/>
          <w:bCs/>
          <w:i/>
          <w:iCs/>
          <w:color w:val="auto"/>
          <w:szCs w:val="22"/>
          <w:u w:val="single"/>
        </w:rPr>
        <w:t>i acquisti di beni e servizi</w:t>
      </w:r>
    </w:p>
    <w:p w14:paraId="50CBEABA" w14:textId="20331CB7" w:rsidR="009C323B" w:rsidRPr="00305F9B" w:rsidRDefault="00FB2A3F"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 xml:space="preserve">rogramma </w:t>
      </w:r>
      <w:r w:rsidR="009C323B" w:rsidRPr="00305F9B">
        <w:rPr>
          <w:rFonts w:ascii="Arial" w:eastAsia="Arial" w:hAnsi="Arial" w:cs="Arial"/>
          <w:color w:val="auto"/>
          <w:szCs w:val="22"/>
        </w:rPr>
        <w:t>triennale degli acquisti d</w:t>
      </w:r>
      <w:r w:rsidR="00E73D7F" w:rsidRPr="00305F9B">
        <w:rPr>
          <w:rFonts w:ascii="Arial" w:eastAsia="Arial" w:hAnsi="Arial" w:cs="Arial"/>
          <w:color w:val="auto"/>
          <w:szCs w:val="22"/>
        </w:rPr>
        <w:t>i</w:t>
      </w:r>
      <w:r w:rsidR="009C323B" w:rsidRPr="00305F9B">
        <w:rPr>
          <w:rFonts w:ascii="Arial" w:eastAsia="Arial" w:hAnsi="Arial" w:cs="Arial"/>
          <w:color w:val="auto"/>
          <w:szCs w:val="22"/>
        </w:rPr>
        <w:t xml:space="preserve"> beni e servizi di cui all’art. 37 del </w:t>
      </w:r>
      <w:r w:rsidR="00580948">
        <w:rPr>
          <w:rFonts w:ascii="Arial" w:eastAsia="Arial" w:hAnsi="Arial" w:cs="Arial"/>
          <w:color w:val="auto"/>
          <w:szCs w:val="22"/>
        </w:rPr>
        <w:t>D</w:t>
      </w:r>
      <w:r w:rsidR="009C323B" w:rsidRPr="00305F9B">
        <w:rPr>
          <w:rFonts w:ascii="Arial" w:eastAsia="Arial" w:hAnsi="Arial" w:cs="Arial"/>
          <w:color w:val="auto"/>
          <w:szCs w:val="22"/>
        </w:rPr>
        <w:t>.lgs. n. 36 del 31 marzo 2023 è redatto secondo lo schema tipo di cui all</w:t>
      </w:r>
      <w:r w:rsidR="00DC59AA" w:rsidRPr="00305F9B">
        <w:rPr>
          <w:rFonts w:ascii="Arial" w:eastAsia="Arial" w:hAnsi="Arial" w:cs="Arial"/>
          <w:color w:val="auto"/>
          <w:szCs w:val="22"/>
        </w:rPr>
        <w:t>’</w:t>
      </w:r>
      <w:r w:rsidR="009C323B" w:rsidRPr="00305F9B">
        <w:rPr>
          <w:rFonts w:ascii="Arial" w:eastAsia="Arial" w:hAnsi="Arial" w:cs="Arial"/>
          <w:color w:val="auto"/>
          <w:szCs w:val="22"/>
        </w:rPr>
        <w:t>allegato I.5 al nuovo Codice.</w:t>
      </w:r>
    </w:p>
    <w:p w14:paraId="39F8BCD5" w14:textId="166F67C0"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è stato oggetto di deliberazione n.  ………  del     …………/ non è stato adottato autonomamente e si considera adottato in quanto contenuto nel DUP.</w:t>
      </w:r>
    </w:p>
    <w:p w14:paraId="16711A5D" w14:textId="57100CEE"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espone acquisti di beni e servizi pari o superiori a </w:t>
      </w:r>
      <w:r w:rsidR="00160626">
        <w:rPr>
          <w:rFonts w:ascii="Arial" w:eastAsia="Arial" w:hAnsi="Arial" w:cs="Arial"/>
          <w:color w:val="auto"/>
          <w:szCs w:val="22"/>
        </w:rPr>
        <w:t>euro</w:t>
      </w:r>
      <w:r w:rsidRPr="00305F9B">
        <w:rPr>
          <w:rFonts w:ascii="Arial" w:eastAsia="Arial" w:hAnsi="Arial" w:cs="Arial"/>
          <w:color w:val="auto"/>
          <w:szCs w:val="22"/>
        </w:rPr>
        <w:t xml:space="preserve"> 140.000,00.</w:t>
      </w:r>
    </w:p>
    <w:p w14:paraId="45BB626E" w14:textId="599ED744" w:rsidR="00FB2A3F" w:rsidRPr="007F0150" w:rsidRDefault="00FB2A3F" w:rsidP="00FB2A3F">
      <w:pPr>
        <w:pBdr>
          <w:top w:val="nil"/>
          <w:left w:val="nil"/>
          <w:bottom w:val="nil"/>
          <w:right w:val="nil"/>
          <w:between w:val="nil"/>
        </w:pBdr>
        <w:spacing w:line="240" w:lineRule="auto"/>
        <w:ind w:hanging="2"/>
        <w:rPr>
          <w:rFonts w:ascii="Arial" w:eastAsia="Arial" w:hAnsi="Arial" w:cs="Arial"/>
          <w:i/>
          <w:iCs/>
          <w:szCs w:val="22"/>
        </w:rPr>
      </w:pPr>
      <w:r w:rsidRPr="007F0150">
        <w:rPr>
          <w:rFonts w:ascii="Arial" w:eastAsia="Arial" w:hAnsi="Arial" w:cs="Arial"/>
          <w:i/>
          <w:iCs/>
          <w:szCs w:val="22"/>
        </w:rPr>
        <w:t>(</w:t>
      </w:r>
      <w:r w:rsidR="00435AB9">
        <w:rPr>
          <w:rFonts w:ascii="Arial" w:eastAsia="Arial" w:hAnsi="Arial" w:cs="Arial"/>
          <w:i/>
          <w:iCs/>
          <w:szCs w:val="22"/>
        </w:rPr>
        <w:t xml:space="preserve">N.B. </w:t>
      </w:r>
      <w:r w:rsidRPr="007F0150">
        <w:rPr>
          <w:rFonts w:ascii="Arial" w:eastAsia="Arial" w:hAnsi="Arial" w:cs="Arial"/>
          <w:i/>
          <w:iCs/>
          <w:szCs w:val="22"/>
        </w:rPr>
        <w:t xml:space="preserve">Nel caso in cui gli </w:t>
      </w:r>
      <w:r w:rsidR="004E710A">
        <w:rPr>
          <w:rFonts w:ascii="Arial" w:eastAsia="Arial" w:hAnsi="Arial" w:cs="Arial"/>
          <w:i/>
          <w:iCs/>
          <w:szCs w:val="22"/>
        </w:rPr>
        <w:t>E</w:t>
      </w:r>
      <w:r w:rsidRPr="007F0150">
        <w:rPr>
          <w:rFonts w:ascii="Arial" w:eastAsia="Arial" w:hAnsi="Arial" w:cs="Arial"/>
          <w:i/>
          <w:iCs/>
          <w:szCs w:val="22"/>
        </w:rPr>
        <w:t xml:space="preserve">nti non provvedano alla redazione del programma </w:t>
      </w:r>
      <w:r w:rsidR="009C323B" w:rsidRPr="007F0150">
        <w:rPr>
          <w:rFonts w:ascii="Arial" w:eastAsia="Arial" w:hAnsi="Arial" w:cs="Arial"/>
          <w:i/>
          <w:iCs/>
          <w:szCs w:val="22"/>
        </w:rPr>
        <w:t xml:space="preserve">triennale </w:t>
      </w:r>
      <w:r w:rsidRPr="007F0150">
        <w:rPr>
          <w:rFonts w:ascii="Arial" w:eastAsia="Arial" w:hAnsi="Arial" w:cs="Arial"/>
          <w:i/>
          <w:iCs/>
          <w:szCs w:val="22"/>
        </w:rPr>
        <w:t>degli acquisti di forniture e servizi, per assenza di acquisti di forniture e servizi, ne danno comunicazione sul profilo del committente nella sezione “Amministrazione trasparente”)</w:t>
      </w:r>
    </w:p>
    <w:p w14:paraId="00EB904B" w14:textId="77777777" w:rsidR="0029715C" w:rsidRPr="00305F9B" w:rsidRDefault="0029715C"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p>
    <w:p w14:paraId="67A450AE" w14:textId="2BDE0ED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Programmazione </w:t>
      </w:r>
      <w:r w:rsidR="008364BB" w:rsidRPr="00305F9B">
        <w:rPr>
          <w:rFonts w:ascii="Arial" w:eastAsia="Arial" w:hAnsi="Arial" w:cs="Arial"/>
          <w:b/>
          <w:bCs/>
          <w:i/>
          <w:iCs/>
          <w:color w:val="auto"/>
          <w:szCs w:val="22"/>
          <w:u w:val="single"/>
        </w:rPr>
        <w:t xml:space="preserve">delle risorse finanziarie da destinare al fabbisogno </w:t>
      </w:r>
      <w:r w:rsidRPr="00305F9B">
        <w:rPr>
          <w:rFonts w:ascii="Arial" w:eastAsia="Arial" w:hAnsi="Arial" w:cs="Arial"/>
          <w:b/>
          <w:bCs/>
          <w:i/>
          <w:iCs/>
          <w:color w:val="auto"/>
          <w:szCs w:val="22"/>
          <w:u w:val="single"/>
        </w:rPr>
        <w:t>del personale</w:t>
      </w:r>
    </w:p>
    <w:p w14:paraId="035B27E1" w14:textId="74E56197" w:rsidR="00A16468" w:rsidRPr="00305F9B" w:rsidRDefault="00E4221E" w:rsidP="004D35C7">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Nella Sezione </w:t>
      </w:r>
      <w:r w:rsidR="00A16468" w:rsidRPr="00305F9B">
        <w:rPr>
          <w:rFonts w:ascii="Arial" w:eastAsia="Arial" w:hAnsi="Arial" w:cs="Arial"/>
          <w:color w:val="auto"/>
          <w:szCs w:val="22"/>
        </w:rPr>
        <w:t xml:space="preserve">operativa </w:t>
      </w:r>
      <w:r w:rsidRPr="00305F9B">
        <w:rPr>
          <w:rFonts w:ascii="Arial" w:eastAsia="Arial" w:hAnsi="Arial" w:cs="Arial"/>
          <w:color w:val="auto"/>
          <w:szCs w:val="22"/>
        </w:rPr>
        <w:t>del D</w:t>
      </w:r>
      <w:r w:rsidR="00B542CD" w:rsidRPr="00305F9B">
        <w:rPr>
          <w:rFonts w:ascii="Arial" w:eastAsia="Arial" w:hAnsi="Arial" w:cs="Arial"/>
          <w:color w:val="auto"/>
          <w:szCs w:val="22"/>
        </w:rPr>
        <w:t>UP</w:t>
      </w:r>
      <w:r w:rsidRPr="00305F9B">
        <w:rPr>
          <w:rFonts w:ascii="Arial" w:eastAsia="Arial" w:hAnsi="Arial" w:cs="Arial"/>
          <w:color w:val="auto"/>
          <w:szCs w:val="22"/>
        </w:rPr>
        <w:t xml:space="preserve"> </w:t>
      </w:r>
      <w:r w:rsidRPr="00305F9B">
        <w:rPr>
          <w:rFonts w:ascii="Arial" w:eastAsia="Arial" w:hAnsi="Arial" w:cs="Arial"/>
          <w:b/>
          <w:bCs/>
          <w:color w:val="auto"/>
          <w:szCs w:val="22"/>
        </w:rPr>
        <w:t>è stata determinata</w:t>
      </w:r>
      <w:r w:rsidR="00A16468" w:rsidRPr="00305F9B">
        <w:rPr>
          <w:rFonts w:ascii="Arial" w:eastAsia="Arial" w:hAnsi="Arial" w:cs="Arial"/>
          <w:b/>
          <w:bCs/>
          <w:color w:val="auto"/>
          <w:szCs w:val="22"/>
        </w:rPr>
        <w:t>/non è stata determinata</w:t>
      </w:r>
      <w:r w:rsidRPr="00305F9B">
        <w:rPr>
          <w:rFonts w:ascii="Arial" w:eastAsia="Arial" w:hAnsi="Arial" w:cs="Arial"/>
          <w:color w:val="auto"/>
          <w:szCs w:val="22"/>
        </w:rPr>
        <w:t xml:space="preserve"> la </w:t>
      </w:r>
      <w:r w:rsidR="00CF228D" w:rsidRPr="00305F9B">
        <w:rPr>
          <w:rFonts w:ascii="Arial" w:eastAsia="Arial" w:hAnsi="Arial" w:cs="Arial"/>
          <w:color w:val="auto"/>
          <w:szCs w:val="22"/>
        </w:rPr>
        <w:t>p</w:t>
      </w:r>
      <w:r w:rsidRPr="00305F9B">
        <w:rPr>
          <w:rFonts w:ascii="Arial" w:eastAsia="Arial" w:hAnsi="Arial" w:cs="Arial"/>
          <w:color w:val="auto"/>
          <w:szCs w:val="22"/>
        </w:rPr>
        <w:t xml:space="preserve">rogrammazione delle risorse finanziare da destinare al fabbisogno di personale a livello triennale e annuale </w:t>
      </w:r>
      <w:r w:rsidR="00A16468" w:rsidRPr="00305F9B">
        <w:rPr>
          <w:rFonts w:ascii="Arial" w:eastAsia="Arial" w:hAnsi="Arial" w:cs="Arial"/>
          <w:color w:val="auto"/>
          <w:szCs w:val="22"/>
        </w:rPr>
        <w:t>sulla base della spesa per il personale in servizio e di quella connessa alle facoltà assunzionali previste a legislazione vigente, tenendo conto delle esigenze di funzionalità e di ottimizzazione delle risorse per il miglior funzionamento dei servizi.</w:t>
      </w:r>
    </w:p>
    <w:p w14:paraId="099A595D" w14:textId="466D5E0E" w:rsidR="006F3F23" w:rsidRDefault="006F3F23" w:rsidP="00A16468">
      <w:pPr>
        <w:pBdr>
          <w:top w:val="nil"/>
          <w:left w:val="nil"/>
          <w:bottom w:val="nil"/>
          <w:right w:val="nil"/>
          <w:between w:val="nil"/>
        </w:pBdr>
        <w:spacing w:line="240" w:lineRule="auto"/>
        <w:ind w:hanging="2"/>
        <w:rPr>
          <w:rFonts w:ascii="Arial" w:eastAsia="Arial" w:hAnsi="Arial" w:cs="Arial"/>
          <w:b/>
          <w:bCs/>
          <w:color w:val="00B0F0"/>
          <w:szCs w:val="22"/>
        </w:rPr>
      </w:pPr>
      <w:bookmarkStart w:id="12" w:name="_Hlk120884395"/>
      <w:bookmarkStart w:id="13" w:name="_Hlk136058086"/>
    </w:p>
    <w:p w14:paraId="332CF2DD" w14:textId="6CBE0B23" w:rsidR="00A16468" w:rsidRPr="00612096" w:rsidRDefault="00D563DB" w:rsidP="00A16468">
      <w:pPr>
        <w:pBdr>
          <w:top w:val="nil"/>
          <w:left w:val="nil"/>
          <w:bottom w:val="nil"/>
          <w:right w:val="nil"/>
          <w:between w:val="nil"/>
        </w:pBdr>
        <w:spacing w:line="240" w:lineRule="auto"/>
        <w:ind w:hanging="2"/>
        <w:rPr>
          <w:rFonts w:ascii="Arial" w:eastAsia="Arial" w:hAnsi="Arial" w:cs="Arial"/>
          <w:i/>
          <w:iCs/>
          <w:color w:val="00B0F0"/>
          <w:szCs w:val="22"/>
        </w:rPr>
      </w:pPr>
      <w:r w:rsidRPr="00612096">
        <w:rPr>
          <w:rFonts w:ascii="Arial" w:eastAsia="Arial" w:hAnsi="Arial" w:cs="Arial"/>
          <w:b/>
          <w:bCs/>
          <w:color w:val="00B0F0"/>
          <w:szCs w:val="22"/>
        </w:rPr>
        <w:t>N.B.</w:t>
      </w:r>
      <w:r w:rsidR="006F3F23">
        <w:rPr>
          <w:rFonts w:ascii="Arial" w:eastAsia="Arial" w:hAnsi="Arial" w:cs="Arial"/>
          <w:b/>
          <w:bCs/>
          <w:color w:val="00B0F0"/>
          <w:szCs w:val="22"/>
        </w:rPr>
        <w:t xml:space="preserve">1) </w:t>
      </w:r>
      <w:r w:rsidR="00A16468" w:rsidRPr="00612096">
        <w:rPr>
          <w:rFonts w:ascii="Arial" w:eastAsia="Arial" w:hAnsi="Arial" w:cs="Arial"/>
          <w:i/>
          <w:iCs/>
          <w:color w:val="00B0F0"/>
          <w:szCs w:val="22"/>
        </w:rPr>
        <w:t xml:space="preserve">La programmazione di tali risorse </w:t>
      </w:r>
      <w:bookmarkEnd w:id="12"/>
      <w:r w:rsidR="00A16468" w:rsidRPr="00612096">
        <w:rPr>
          <w:rFonts w:ascii="Arial" w:eastAsia="Arial" w:hAnsi="Arial" w:cs="Arial"/>
          <w:i/>
          <w:iCs/>
          <w:color w:val="00B0F0"/>
          <w:szCs w:val="22"/>
        </w:rPr>
        <w:t>finanziarie costituisce il presupposto necessario per la formulazione delle previsioni della spesa di personale del bilancio di previsione e per la predisposizione e l’approvazione del Piano triennale dei fabbisogni di personale nell’ambito della sezione Organizzazione e Capitale umano del Piano integrato di attività e organizzazione (PIAO) di cui all’articolo 6 del decreto-legge 9 giugno 2021, n. 80, convertito, con modificazioni, dalla legge 6 agosto 2021, n. 113</w:t>
      </w:r>
      <w:bookmarkEnd w:id="13"/>
      <w:r w:rsidR="00612096">
        <w:rPr>
          <w:rFonts w:ascii="Arial" w:eastAsia="Arial" w:hAnsi="Arial" w:cs="Arial"/>
          <w:i/>
          <w:iCs/>
          <w:color w:val="00B0F0"/>
          <w:szCs w:val="22"/>
        </w:rPr>
        <w:t>.</w:t>
      </w:r>
    </w:p>
    <w:p w14:paraId="11AF43AC" w14:textId="7ED09AD7" w:rsidR="00A16468" w:rsidRDefault="00D563DB" w:rsidP="007C5A6D">
      <w:pPr>
        <w:pBdr>
          <w:top w:val="nil"/>
          <w:left w:val="nil"/>
          <w:bottom w:val="nil"/>
          <w:right w:val="nil"/>
          <w:between w:val="nil"/>
        </w:pBdr>
        <w:spacing w:line="240" w:lineRule="auto"/>
        <w:ind w:hanging="2"/>
        <w:rPr>
          <w:rFonts w:ascii="Arial" w:eastAsia="Arial" w:hAnsi="Arial" w:cs="Arial"/>
          <w:i/>
          <w:iCs/>
          <w:color w:val="00B0F0"/>
          <w:szCs w:val="22"/>
        </w:rPr>
      </w:pPr>
      <w:r w:rsidRPr="00D563DB">
        <w:rPr>
          <w:rFonts w:ascii="Arial" w:eastAsia="Arial" w:hAnsi="Arial" w:cs="Arial"/>
          <w:b/>
          <w:bCs/>
          <w:color w:val="00B0F0"/>
          <w:szCs w:val="22"/>
        </w:rPr>
        <w:t xml:space="preserve">N.B. </w:t>
      </w:r>
      <w:r w:rsidR="006F3F23" w:rsidRPr="00D563DB">
        <w:rPr>
          <w:rFonts w:ascii="Arial" w:eastAsia="Arial" w:hAnsi="Arial" w:cs="Arial"/>
          <w:b/>
          <w:bCs/>
          <w:color w:val="00B0F0"/>
          <w:szCs w:val="22"/>
        </w:rPr>
        <w:t>2)</w:t>
      </w:r>
      <w:r w:rsidR="006F3F23">
        <w:rPr>
          <w:rFonts w:ascii="Arial" w:eastAsia="Arial" w:hAnsi="Arial" w:cs="Arial"/>
          <w:i/>
          <w:iCs/>
          <w:color w:val="00B0F0"/>
          <w:szCs w:val="22"/>
        </w:rPr>
        <w:t xml:space="preserve"> </w:t>
      </w:r>
      <w:r w:rsidR="00A16468">
        <w:rPr>
          <w:rFonts w:ascii="Arial" w:eastAsia="Arial" w:hAnsi="Arial" w:cs="Arial"/>
          <w:i/>
          <w:iCs/>
          <w:color w:val="00B0F0"/>
          <w:szCs w:val="22"/>
        </w:rPr>
        <w:t xml:space="preserve">L’Organo di revisione in tema di </w:t>
      </w:r>
      <w:r w:rsidR="00CF228D">
        <w:rPr>
          <w:rFonts w:ascii="Arial" w:eastAsia="Arial" w:hAnsi="Arial" w:cs="Arial"/>
          <w:i/>
          <w:iCs/>
          <w:color w:val="00B0F0"/>
          <w:szCs w:val="22"/>
        </w:rPr>
        <w:t>p</w:t>
      </w:r>
      <w:r w:rsidR="00A16468">
        <w:rPr>
          <w:rFonts w:ascii="Arial" w:eastAsia="Arial" w:hAnsi="Arial" w:cs="Arial"/>
          <w:i/>
          <w:iCs/>
          <w:color w:val="00B0F0"/>
          <w:szCs w:val="22"/>
        </w:rPr>
        <w:t xml:space="preserve">rogrammazione dei </w:t>
      </w:r>
      <w:r w:rsidR="007C5A6D" w:rsidRPr="004D35C7">
        <w:rPr>
          <w:rFonts w:ascii="Arial" w:eastAsia="Arial" w:hAnsi="Arial" w:cs="Arial"/>
          <w:i/>
          <w:iCs/>
          <w:color w:val="00B0F0"/>
          <w:szCs w:val="22"/>
        </w:rPr>
        <w:t>fabbisogni di personale</w:t>
      </w:r>
      <w:r w:rsidR="00A65CF4">
        <w:rPr>
          <w:rFonts w:ascii="Arial" w:eastAsia="Arial" w:hAnsi="Arial" w:cs="Arial"/>
          <w:i/>
          <w:iCs/>
          <w:color w:val="00B0F0"/>
          <w:szCs w:val="22"/>
        </w:rPr>
        <w:t>, oltre che in sede di DUP,</w:t>
      </w:r>
      <w:r w:rsidR="00A16468">
        <w:rPr>
          <w:rFonts w:ascii="Arial" w:eastAsia="Arial" w:hAnsi="Arial" w:cs="Arial"/>
          <w:i/>
          <w:iCs/>
          <w:color w:val="00B0F0"/>
          <w:szCs w:val="22"/>
        </w:rPr>
        <w:t xml:space="preserve"> deve esprimersi con apposito parere in sede di approvazione del PIAO</w:t>
      </w:r>
      <w:r w:rsidR="00B93513">
        <w:rPr>
          <w:rFonts w:ascii="Arial" w:eastAsia="Arial" w:hAnsi="Arial" w:cs="Arial"/>
          <w:i/>
          <w:iCs/>
          <w:color w:val="00B0F0"/>
          <w:szCs w:val="22"/>
        </w:rPr>
        <w:t xml:space="preserve"> (FAQ 51 di Arconet</w:t>
      </w:r>
      <w:r w:rsidR="00436415">
        <w:rPr>
          <w:rFonts w:ascii="Arial" w:eastAsia="Arial" w:hAnsi="Arial" w:cs="Arial"/>
          <w:i/>
          <w:iCs/>
          <w:color w:val="00B0F0"/>
          <w:szCs w:val="22"/>
        </w:rPr>
        <w:t xml:space="preserve"> – principio contabile 4/1</w:t>
      </w:r>
      <w:r w:rsidR="00B93513">
        <w:rPr>
          <w:rFonts w:ascii="Arial" w:eastAsia="Arial" w:hAnsi="Arial" w:cs="Arial"/>
          <w:i/>
          <w:iCs/>
          <w:color w:val="00B0F0"/>
          <w:szCs w:val="22"/>
        </w:rPr>
        <w:t>)</w:t>
      </w:r>
      <w:r w:rsidR="00A16468">
        <w:rPr>
          <w:rFonts w:ascii="Arial" w:eastAsia="Arial" w:hAnsi="Arial" w:cs="Arial"/>
          <w:i/>
          <w:iCs/>
          <w:color w:val="00B0F0"/>
          <w:szCs w:val="22"/>
        </w:rPr>
        <w:t xml:space="preserve">. Il parere dell’Organo di revisione è rilasciato </w:t>
      </w:r>
      <w:r w:rsidR="00A16468" w:rsidRPr="004D35C7">
        <w:rPr>
          <w:rFonts w:ascii="Arial" w:eastAsia="Arial" w:hAnsi="Arial" w:cs="Arial"/>
          <w:i/>
          <w:iCs/>
          <w:color w:val="00B0F0"/>
          <w:szCs w:val="22"/>
        </w:rPr>
        <w:t>limitatamente alla sezione 3 del PIAO</w:t>
      </w:r>
      <w:r w:rsidR="00A16468">
        <w:rPr>
          <w:rFonts w:ascii="Arial" w:eastAsia="Arial" w:hAnsi="Arial" w:cs="Arial"/>
          <w:i/>
          <w:iCs/>
          <w:color w:val="00B0F0"/>
          <w:szCs w:val="22"/>
        </w:rPr>
        <w:t xml:space="preserve"> e non sull’intero PIAO i cui restanti contenuti non sono pertinenti con le competenze attribuite all’Organo di revisione in tema di rilascio obbligatorio di pareri.</w:t>
      </w:r>
    </w:p>
    <w:p w14:paraId="07C69B23" w14:textId="7086770F"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w:t>
      </w:r>
      <w:r w:rsidR="007C5A6D" w:rsidRPr="00305F9B">
        <w:rPr>
          <w:rFonts w:ascii="Arial" w:eastAsia="Arial" w:hAnsi="Arial" w:cs="Arial"/>
          <w:b/>
          <w:bCs/>
          <w:i/>
          <w:iCs/>
          <w:color w:val="auto"/>
          <w:szCs w:val="22"/>
          <w:u w:val="single"/>
        </w:rPr>
        <w:t xml:space="preserve">annuale </w:t>
      </w:r>
      <w:r w:rsidRPr="00305F9B">
        <w:rPr>
          <w:rFonts w:ascii="Arial" w:eastAsia="Arial" w:hAnsi="Arial" w:cs="Arial"/>
          <w:b/>
          <w:bCs/>
          <w:i/>
          <w:iCs/>
          <w:color w:val="auto"/>
          <w:szCs w:val="22"/>
          <w:u w:val="single"/>
        </w:rPr>
        <w:t>degli incarichi</w:t>
      </w:r>
    </w:p>
    <w:p w14:paraId="58189EC6" w14:textId="4BE585CD" w:rsidR="0049172B" w:rsidRPr="00305F9B" w:rsidRDefault="00F268CF" w:rsidP="00FB2A3F">
      <w:pPr>
        <w:pBdr>
          <w:top w:val="nil"/>
          <w:left w:val="nil"/>
          <w:bottom w:val="nil"/>
          <w:right w:val="nil"/>
          <w:between w:val="nil"/>
        </w:pBdr>
        <w:spacing w:line="240" w:lineRule="auto"/>
        <w:ind w:hanging="2"/>
        <w:rPr>
          <w:rFonts w:ascii="Arial" w:eastAsia="Arial" w:hAnsi="Arial" w:cs="Arial"/>
          <w:color w:val="auto"/>
          <w:szCs w:val="22"/>
          <w:u w:val="single"/>
        </w:rPr>
      </w:pPr>
      <w:r w:rsidRPr="00305F9B">
        <w:rPr>
          <w:rFonts w:ascii="Arial" w:eastAsia="Arial" w:hAnsi="Arial" w:cs="Arial"/>
          <w:color w:val="auto"/>
          <w:szCs w:val="22"/>
        </w:rPr>
        <w:t>Il</w:t>
      </w:r>
      <w:r w:rsidR="007C5A6D" w:rsidRPr="00305F9B">
        <w:rPr>
          <w:rFonts w:ascii="Arial" w:eastAsia="Arial" w:hAnsi="Arial" w:cs="Arial"/>
          <w:color w:val="auto"/>
          <w:szCs w:val="22"/>
        </w:rPr>
        <w:t xml:space="preserve"> </w:t>
      </w:r>
      <w:r w:rsidR="00612096" w:rsidRPr="00305F9B">
        <w:rPr>
          <w:rFonts w:ascii="Arial" w:eastAsia="Arial" w:hAnsi="Arial" w:cs="Arial"/>
          <w:color w:val="auto"/>
          <w:szCs w:val="22"/>
        </w:rPr>
        <w:t>p</w:t>
      </w:r>
      <w:r w:rsidR="007C5A6D" w:rsidRPr="00305F9B">
        <w:rPr>
          <w:rFonts w:ascii="Arial" w:eastAsia="Arial" w:hAnsi="Arial" w:cs="Arial"/>
          <w:color w:val="auto"/>
          <w:szCs w:val="22"/>
        </w:rPr>
        <w:t xml:space="preserve">rogramma annuale degli incarichi e delle collaborazioni a persone fisiche di cui all’art. 3, comma 55, della </w:t>
      </w:r>
      <w:r w:rsidR="00435AB9">
        <w:rPr>
          <w:rFonts w:ascii="Arial" w:eastAsia="Arial" w:hAnsi="Arial" w:cs="Arial"/>
          <w:color w:val="auto"/>
          <w:szCs w:val="22"/>
        </w:rPr>
        <w:t>L</w:t>
      </w:r>
      <w:r w:rsidR="007C5A6D" w:rsidRPr="00305F9B">
        <w:rPr>
          <w:rFonts w:ascii="Arial" w:eastAsia="Arial" w:hAnsi="Arial" w:cs="Arial"/>
          <w:color w:val="auto"/>
          <w:szCs w:val="22"/>
        </w:rPr>
        <w:t xml:space="preserve">. n. 244/2007, convertito con </w:t>
      </w:r>
      <w:r w:rsidR="00C10A9D">
        <w:rPr>
          <w:rFonts w:ascii="Arial" w:eastAsia="Arial" w:hAnsi="Arial" w:cs="Arial"/>
          <w:color w:val="auto"/>
          <w:szCs w:val="22"/>
        </w:rPr>
        <w:t>L</w:t>
      </w:r>
      <w:r w:rsidR="007C5A6D" w:rsidRPr="00305F9B">
        <w:rPr>
          <w:rFonts w:ascii="Arial" w:eastAsia="Arial" w:hAnsi="Arial" w:cs="Arial"/>
          <w:color w:val="auto"/>
          <w:szCs w:val="22"/>
        </w:rPr>
        <w:t xml:space="preserve">. n. 133/2008 come modificato dall’articolo 46, comma 3, del </w:t>
      </w:r>
      <w:r w:rsidR="00C10A9D">
        <w:rPr>
          <w:rFonts w:ascii="Arial" w:eastAsia="Arial" w:hAnsi="Arial" w:cs="Arial"/>
          <w:color w:val="auto"/>
          <w:szCs w:val="22"/>
        </w:rPr>
        <w:t>D.L.</w:t>
      </w:r>
      <w:r w:rsidR="007C5A6D" w:rsidRPr="00305F9B">
        <w:rPr>
          <w:rFonts w:ascii="Arial" w:eastAsia="Arial" w:hAnsi="Arial" w:cs="Arial"/>
          <w:color w:val="auto"/>
          <w:szCs w:val="22"/>
        </w:rPr>
        <w:t xml:space="preserve"> n. 112/2008 e all'art. 7 comma 6, D. </w:t>
      </w:r>
      <w:r w:rsidR="00CD7FEC">
        <w:rPr>
          <w:rFonts w:ascii="Arial" w:eastAsia="Arial" w:hAnsi="Arial" w:cs="Arial"/>
          <w:color w:val="auto"/>
          <w:szCs w:val="22"/>
        </w:rPr>
        <w:t>l</w:t>
      </w:r>
      <w:r w:rsidR="007C5A6D" w:rsidRPr="00305F9B">
        <w:rPr>
          <w:rFonts w:ascii="Arial" w:eastAsia="Arial" w:hAnsi="Arial" w:cs="Arial"/>
          <w:color w:val="auto"/>
          <w:szCs w:val="22"/>
        </w:rPr>
        <w:t>gs. 165/2001</w:t>
      </w:r>
      <w:r w:rsidRPr="00305F9B">
        <w:rPr>
          <w:rFonts w:ascii="Arial" w:eastAsia="Arial" w:hAnsi="Arial" w:cs="Arial"/>
          <w:color w:val="auto"/>
          <w:szCs w:val="22"/>
        </w:rPr>
        <w:t xml:space="preserve"> </w:t>
      </w:r>
      <w:r w:rsidRPr="00D21A8A">
        <w:rPr>
          <w:rFonts w:ascii="Arial" w:eastAsia="Arial" w:hAnsi="Arial" w:cs="Arial"/>
          <w:b/>
          <w:bCs/>
          <w:color w:val="auto"/>
          <w:szCs w:val="22"/>
        </w:rPr>
        <w:t>è stato redatto</w:t>
      </w:r>
      <w:r w:rsidR="00D21A8A">
        <w:rPr>
          <w:rFonts w:ascii="Arial" w:eastAsia="Arial" w:hAnsi="Arial" w:cs="Arial"/>
          <w:b/>
          <w:bCs/>
          <w:color w:val="auto"/>
          <w:szCs w:val="22"/>
        </w:rPr>
        <w:t>/non è stato redatto</w:t>
      </w:r>
      <w:r w:rsidRPr="00305F9B">
        <w:rPr>
          <w:rFonts w:ascii="Arial" w:eastAsia="Arial" w:hAnsi="Arial" w:cs="Arial"/>
          <w:color w:val="auto"/>
          <w:szCs w:val="22"/>
        </w:rPr>
        <w:t>.</w:t>
      </w:r>
    </w:p>
    <w:p w14:paraId="78CD1E86" w14:textId="22514CE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lastRenderedPageBreak/>
        <w:t>PNRR</w:t>
      </w:r>
    </w:p>
    <w:p w14:paraId="59293905" w14:textId="23300ABF"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bCs/>
          <w:color w:val="auto"/>
          <w:szCs w:val="22"/>
        </w:rPr>
        <w:t>ha</w:t>
      </w:r>
      <w:r w:rsidR="00A16468" w:rsidRPr="00305F9B">
        <w:rPr>
          <w:rFonts w:ascii="Arial" w:eastAsia="Arial" w:hAnsi="Arial" w:cs="Arial"/>
          <w:b/>
          <w:bCs/>
          <w:color w:val="auto"/>
          <w:szCs w:val="22"/>
        </w:rPr>
        <w:t>/non ha</w:t>
      </w:r>
      <w:r w:rsidRPr="00305F9B">
        <w:rPr>
          <w:rFonts w:ascii="Arial" w:eastAsia="Arial" w:hAnsi="Arial" w:cs="Arial"/>
          <w:color w:val="auto"/>
          <w:szCs w:val="22"/>
        </w:rPr>
        <w:t xml:space="preserve"> una sezione del DUP </w:t>
      </w:r>
      <w:r w:rsidR="00612096" w:rsidRPr="00305F9B">
        <w:rPr>
          <w:rFonts w:ascii="Arial" w:eastAsia="Arial" w:hAnsi="Arial" w:cs="Arial"/>
          <w:color w:val="auto"/>
          <w:szCs w:val="22"/>
        </w:rPr>
        <w:t xml:space="preserve">dedicata </w:t>
      </w:r>
      <w:r w:rsidRPr="00305F9B">
        <w:rPr>
          <w:rFonts w:ascii="Arial" w:eastAsia="Arial" w:hAnsi="Arial" w:cs="Arial"/>
          <w:color w:val="auto"/>
          <w:szCs w:val="22"/>
        </w:rPr>
        <w:t>al PNRR</w:t>
      </w:r>
      <w:r w:rsidR="00612096" w:rsidRPr="00305F9B">
        <w:rPr>
          <w:rFonts w:ascii="Arial" w:eastAsia="Arial" w:hAnsi="Arial" w:cs="Arial"/>
          <w:color w:val="auto"/>
          <w:szCs w:val="22"/>
        </w:rPr>
        <w:t>.</w:t>
      </w:r>
      <w:r w:rsidRPr="00305F9B">
        <w:rPr>
          <w:rFonts w:ascii="Arial" w:eastAsia="Arial" w:hAnsi="Arial" w:cs="Arial"/>
          <w:color w:val="auto"/>
          <w:szCs w:val="22"/>
        </w:rPr>
        <w:t xml:space="preserve"> (</w:t>
      </w:r>
      <w:r w:rsidRPr="00D21A8A">
        <w:rPr>
          <w:rFonts w:ascii="Arial" w:eastAsia="Arial" w:hAnsi="Arial" w:cs="Arial"/>
          <w:i/>
          <w:iCs/>
          <w:color w:val="auto"/>
          <w:szCs w:val="22"/>
        </w:rPr>
        <w:t>si rinvia al paragrafo dedicato al PNRR</w:t>
      </w:r>
      <w:r w:rsidRPr="00305F9B">
        <w:rPr>
          <w:rFonts w:ascii="Arial" w:eastAsia="Arial" w:hAnsi="Arial" w:cs="Arial"/>
          <w:color w:val="auto"/>
          <w:szCs w:val="22"/>
        </w:rPr>
        <w:t>)</w:t>
      </w:r>
    </w:p>
    <w:p w14:paraId="16A62B19" w14:textId="0CFC86C5" w:rsidR="004D35C7" w:rsidRPr="00D21A8A" w:rsidRDefault="00E73D7F" w:rsidP="00F137BD">
      <w:pPr>
        <w:pBdr>
          <w:top w:val="nil"/>
          <w:left w:val="nil"/>
          <w:bottom w:val="nil"/>
          <w:right w:val="nil"/>
          <w:between w:val="nil"/>
        </w:pBdr>
        <w:spacing w:line="240" w:lineRule="auto"/>
        <w:ind w:hanging="2"/>
        <w:rPr>
          <w:rFonts w:ascii="Arial" w:eastAsia="Arial" w:hAnsi="Arial" w:cs="Arial"/>
          <w:color w:val="00B0F0"/>
          <w:szCs w:val="22"/>
        </w:rPr>
      </w:pPr>
      <w:r w:rsidRPr="00D21A8A">
        <w:rPr>
          <w:rFonts w:ascii="Arial" w:eastAsia="Arial" w:hAnsi="Arial" w:cs="Arial"/>
          <w:i/>
          <w:iCs/>
          <w:color w:val="00B0F0"/>
          <w:szCs w:val="22"/>
        </w:rPr>
        <w:t>Nel caso di risposta negativa fornire chiarimenti</w:t>
      </w:r>
    </w:p>
    <w:p w14:paraId="273D2CF7" w14:textId="72FDBD3B" w:rsidR="00E4221E" w:rsidRPr="00305F9B" w:rsidRDefault="008A5A9B" w:rsidP="004D35C7">
      <w:pPr>
        <w:pBdr>
          <w:top w:val="nil"/>
          <w:left w:val="nil"/>
          <w:bottom w:val="nil"/>
          <w:right w:val="nil"/>
          <w:between w:val="nil"/>
        </w:pBdr>
        <w:spacing w:line="240" w:lineRule="auto"/>
        <w:ind w:left="-2"/>
        <w:rPr>
          <w:rFonts w:ascii="Arial" w:eastAsia="Arial" w:hAnsi="Arial" w:cs="Arial"/>
          <w:color w:val="auto"/>
          <w:szCs w:val="22"/>
        </w:rPr>
      </w:pPr>
      <w:r w:rsidRPr="00305F9B">
        <w:rPr>
          <w:rFonts w:ascii="Arial" w:eastAsia="Arial" w:hAnsi="Arial" w:cs="Arial"/>
          <w:color w:val="auto"/>
          <w:szCs w:val="22"/>
        </w:rPr>
        <w:t>L</w:t>
      </w:r>
      <w:r w:rsidR="00E4221E" w:rsidRPr="00305F9B">
        <w:rPr>
          <w:rFonts w:ascii="Arial" w:eastAsia="Arial" w:hAnsi="Arial" w:cs="Arial"/>
          <w:color w:val="auto"/>
          <w:szCs w:val="22"/>
        </w:rPr>
        <w:t xml:space="preserve">’Organo di revisione ritiene che le previsioni </w:t>
      </w:r>
      <w:r w:rsidR="00A16468" w:rsidRPr="00305F9B">
        <w:rPr>
          <w:rFonts w:ascii="Arial" w:eastAsia="Arial" w:hAnsi="Arial" w:cs="Arial"/>
          <w:color w:val="auto"/>
          <w:szCs w:val="22"/>
        </w:rPr>
        <w:t xml:space="preserve">contenute nella Sezione Operativa del DUP e nel bilancio di previsione </w:t>
      </w:r>
      <w:r w:rsidR="00E4221E" w:rsidRPr="00305F9B">
        <w:rPr>
          <w:rFonts w:ascii="Arial" w:eastAsia="Arial" w:hAnsi="Arial" w:cs="Arial"/>
          <w:color w:val="auto"/>
          <w:szCs w:val="22"/>
        </w:rPr>
        <w:t>per gli anni 202</w:t>
      </w:r>
      <w:r w:rsidR="005B7ACB">
        <w:rPr>
          <w:rFonts w:ascii="Arial" w:eastAsia="Arial" w:hAnsi="Arial" w:cs="Arial"/>
          <w:color w:val="auto"/>
          <w:szCs w:val="22"/>
        </w:rPr>
        <w:t>6</w:t>
      </w:r>
      <w:r w:rsidR="00E4221E" w:rsidRPr="00305F9B">
        <w:rPr>
          <w:rFonts w:ascii="Arial" w:eastAsia="Arial" w:hAnsi="Arial" w:cs="Arial"/>
          <w:color w:val="auto"/>
          <w:szCs w:val="22"/>
        </w:rPr>
        <w:t>-202</w:t>
      </w:r>
      <w:r w:rsidR="005B7ACB">
        <w:rPr>
          <w:rFonts w:ascii="Arial" w:eastAsia="Arial" w:hAnsi="Arial" w:cs="Arial"/>
          <w:color w:val="auto"/>
          <w:szCs w:val="22"/>
        </w:rPr>
        <w:t>8</w:t>
      </w:r>
      <w:r w:rsidR="00E4221E" w:rsidRPr="00305F9B">
        <w:rPr>
          <w:rFonts w:ascii="Arial" w:eastAsia="Arial" w:hAnsi="Arial" w:cs="Arial"/>
          <w:color w:val="auto"/>
          <w:szCs w:val="22"/>
        </w:rPr>
        <w:t xml:space="preserve"> </w:t>
      </w:r>
      <w:r w:rsidR="00E4221E" w:rsidRPr="00305F9B">
        <w:rPr>
          <w:rFonts w:ascii="Arial" w:eastAsia="Arial" w:hAnsi="Arial" w:cs="Arial"/>
          <w:b/>
          <w:bCs/>
          <w:color w:val="auto"/>
          <w:szCs w:val="22"/>
        </w:rPr>
        <w:t>s</w:t>
      </w:r>
      <w:r w:rsidR="00073C23" w:rsidRPr="00305F9B">
        <w:rPr>
          <w:rFonts w:ascii="Arial" w:eastAsia="Arial" w:hAnsi="Arial" w:cs="Arial"/>
          <w:b/>
          <w:bCs/>
          <w:color w:val="auto"/>
          <w:szCs w:val="22"/>
        </w:rPr>
        <w:t>ono</w:t>
      </w:r>
      <w:r w:rsidR="00D21A8A">
        <w:rPr>
          <w:rFonts w:ascii="Arial" w:eastAsia="Arial" w:hAnsi="Arial" w:cs="Arial"/>
          <w:b/>
          <w:bCs/>
          <w:color w:val="auto"/>
          <w:szCs w:val="22"/>
        </w:rPr>
        <w:t xml:space="preserve"> coerenti</w:t>
      </w:r>
      <w:r w:rsidR="00E4221E" w:rsidRPr="00305F9B">
        <w:rPr>
          <w:rFonts w:ascii="Arial" w:eastAsia="Arial" w:hAnsi="Arial" w:cs="Arial"/>
          <w:b/>
          <w:bCs/>
          <w:color w:val="auto"/>
          <w:szCs w:val="22"/>
        </w:rPr>
        <w:t>/non s</w:t>
      </w:r>
      <w:r w:rsidR="00073C23" w:rsidRPr="00305F9B">
        <w:rPr>
          <w:rFonts w:ascii="Arial" w:eastAsia="Arial" w:hAnsi="Arial" w:cs="Arial"/>
          <w:b/>
          <w:bCs/>
          <w:color w:val="auto"/>
          <w:szCs w:val="22"/>
        </w:rPr>
        <w:t>o</w:t>
      </w:r>
      <w:r w:rsidR="00E4221E" w:rsidRPr="00305F9B">
        <w:rPr>
          <w:rFonts w:ascii="Arial" w:eastAsia="Arial" w:hAnsi="Arial" w:cs="Arial"/>
          <w:b/>
          <w:bCs/>
          <w:color w:val="auto"/>
          <w:szCs w:val="22"/>
        </w:rPr>
        <w:t>no coerenti</w:t>
      </w:r>
      <w:r w:rsidR="00E4221E" w:rsidRPr="00305F9B">
        <w:rPr>
          <w:rFonts w:ascii="Arial" w:eastAsia="Arial" w:hAnsi="Arial" w:cs="Arial"/>
          <w:color w:val="auto"/>
          <w:szCs w:val="22"/>
        </w:rPr>
        <w:t xml:space="preserve"> con gli strumenti di programmazione di mandato, con </w:t>
      </w:r>
      <w:r w:rsidR="00A16468" w:rsidRPr="00305F9B">
        <w:rPr>
          <w:rFonts w:ascii="Arial" w:eastAsia="Arial" w:hAnsi="Arial" w:cs="Arial"/>
          <w:color w:val="auto"/>
          <w:szCs w:val="22"/>
        </w:rPr>
        <w:t>la Sezione Strategica del DUP e</w:t>
      </w:r>
      <w:r w:rsidR="00E4221E" w:rsidRPr="00305F9B">
        <w:rPr>
          <w:rFonts w:ascii="Arial" w:eastAsia="Arial" w:hAnsi="Arial" w:cs="Arial"/>
          <w:color w:val="auto"/>
          <w:szCs w:val="22"/>
        </w:rPr>
        <w:t xml:space="preserve"> con gli atti di programmazione di settor</w:t>
      </w:r>
      <w:r w:rsidRPr="00305F9B">
        <w:rPr>
          <w:rFonts w:ascii="Arial" w:eastAsia="Arial" w:hAnsi="Arial" w:cs="Arial"/>
          <w:color w:val="auto"/>
          <w:szCs w:val="22"/>
        </w:rPr>
        <w:t>e sopra citati.</w:t>
      </w:r>
    </w:p>
    <w:p w14:paraId="7A670C0B" w14:textId="48492101" w:rsidR="00FB2A3F" w:rsidRPr="00612096" w:rsidRDefault="00714F9D" w:rsidP="00FB2A3F">
      <w:pPr>
        <w:pStyle w:val="Titolo1"/>
        <w:numPr>
          <w:ilvl w:val="0"/>
          <w:numId w:val="0"/>
        </w:numPr>
        <w:ind w:left="357" w:hanging="357"/>
        <w:rPr>
          <w:rFonts w:ascii="Cambria" w:eastAsia="Cambria" w:hAnsi="Cambria" w:cs="Cambria"/>
          <w:b w:val="0"/>
          <w:color w:val="000000"/>
          <w:sz w:val="32"/>
          <w:szCs w:val="32"/>
        </w:rPr>
      </w:pPr>
      <w:bookmarkStart w:id="14" w:name="_Toc219808159"/>
      <w:r w:rsidRPr="00612096">
        <w:t>5</w:t>
      </w:r>
      <w:r w:rsidR="00FB2A3F" w:rsidRPr="00612096">
        <w:t xml:space="preserve">. </w:t>
      </w:r>
      <w:r w:rsidR="00B542CD" w:rsidRPr="00612096">
        <w:t>LA GESTIONE D</w:t>
      </w:r>
      <w:r w:rsidR="00B93513">
        <w:t>EGLI ESERCIZI 202</w:t>
      </w:r>
      <w:r w:rsidR="005B7ACB">
        <w:t>4</w:t>
      </w:r>
      <w:r w:rsidR="00B93513">
        <w:t xml:space="preserve"> E 202</w:t>
      </w:r>
      <w:r w:rsidR="005B7ACB">
        <w:t>5</w:t>
      </w:r>
      <w:bookmarkEnd w:id="14"/>
      <w:r w:rsidR="00A16468" w:rsidRPr="00612096">
        <w:t xml:space="preserve"> </w:t>
      </w:r>
    </w:p>
    <w:p w14:paraId="217BE88B" w14:textId="36A5FB04"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bookmarkStart w:id="15" w:name="_heading=h.tyjcwt" w:colFirst="0" w:colLast="0"/>
      <w:bookmarkEnd w:id="15"/>
      <w:r w:rsidRPr="00C76651">
        <w:rPr>
          <w:rFonts w:ascii="Arial" w:eastAsia="Arial" w:hAnsi="Arial" w:cs="Arial"/>
          <w:color w:val="000000"/>
          <w:szCs w:val="22"/>
        </w:rPr>
        <w:t>L’</w:t>
      </w:r>
      <w:r w:rsidR="008C57B1" w:rsidRPr="00C76651">
        <w:rPr>
          <w:rFonts w:ascii="Arial" w:eastAsia="Arial" w:hAnsi="Arial" w:cs="Arial"/>
          <w:color w:val="auto"/>
          <w:szCs w:val="22"/>
        </w:rPr>
        <w:t>O</w:t>
      </w:r>
      <w:r w:rsidRPr="00C76651">
        <w:rPr>
          <w:rFonts w:ascii="Arial" w:eastAsia="Arial" w:hAnsi="Arial" w:cs="Arial"/>
          <w:color w:val="000000"/>
          <w:szCs w:val="22"/>
        </w:rPr>
        <w:t>rgano</w:t>
      </w:r>
      <w:r>
        <w:rPr>
          <w:rFonts w:ascii="Arial" w:eastAsia="Arial" w:hAnsi="Arial" w:cs="Arial"/>
          <w:color w:val="000000"/>
          <w:szCs w:val="22"/>
        </w:rPr>
        <w:t xml:space="preserve"> consiliare ha approvato con delibera n. ….</w:t>
      </w:r>
      <w:r w:rsidR="00352C52">
        <w:rPr>
          <w:rFonts w:ascii="Arial" w:eastAsia="Arial" w:hAnsi="Arial" w:cs="Arial"/>
          <w:color w:val="000000"/>
          <w:szCs w:val="22"/>
        </w:rPr>
        <w:t xml:space="preserve"> </w:t>
      </w:r>
      <w:r>
        <w:rPr>
          <w:rFonts w:ascii="Arial" w:eastAsia="Arial" w:hAnsi="Arial" w:cs="Arial"/>
          <w:color w:val="000000"/>
          <w:szCs w:val="22"/>
        </w:rPr>
        <w:t>del……. la proposta di rendiconto per l’esercizio 202</w:t>
      </w:r>
      <w:r w:rsidR="005B7ACB">
        <w:rPr>
          <w:rFonts w:ascii="Arial" w:eastAsia="Arial" w:hAnsi="Arial" w:cs="Arial"/>
          <w:color w:val="000000"/>
          <w:szCs w:val="22"/>
        </w:rPr>
        <w:t>4</w:t>
      </w:r>
      <w:r>
        <w:rPr>
          <w:rFonts w:ascii="Arial" w:eastAsia="Arial" w:hAnsi="Arial" w:cs="Arial"/>
          <w:color w:val="000000"/>
          <w:szCs w:val="22"/>
        </w:rPr>
        <w:t>.</w:t>
      </w:r>
    </w:p>
    <w:p w14:paraId="2994EE3F" w14:textId="189BABBC" w:rsidR="000F434D" w:rsidRPr="00305F9B" w:rsidRDefault="000F434D" w:rsidP="000F434D">
      <w:pPr>
        <w:pBdr>
          <w:top w:val="nil"/>
          <w:left w:val="nil"/>
          <w:bottom w:val="nil"/>
          <w:right w:val="nil"/>
          <w:between w:val="nil"/>
        </w:pBdr>
        <w:spacing w:before="120" w:line="240" w:lineRule="auto"/>
        <w:ind w:hanging="2"/>
        <w:rPr>
          <w:rFonts w:ascii="Arial" w:eastAsia="Arial" w:hAnsi="Arial" w:cs="Arial"/>
          <w:color w:val="auto"/>
          <w:szCs w:val="22"/>
        </w:rPr>
      </w:pPr>
      <w:r>
        <w:rPr>
          <w:rFonts w:ascii="Arial" w:eastAsia="Arial" w:hAnsi="Arial" w:cs="Arial"/>
          <w:color w:val="000000"/>
          <w:szCs w:val="22"/>
        </w:rPr>
        <w:t>L’Organo di revisione ha formulato la propria relazione al rendiconto 202</w:t>
      </w:r>
      <w:r w:rsidR="005B7ACB">
        <w:rPr>
          <w:rFonts w:ascii="Arial" w:eastAsia="Arial" w:hAnsi="Arial" w:cs="Arial"/>
          <w:color w:val="000000"/>
          <w:szCs w:val="22"/>
        </w:rPr>
        <w:t>4</w:t>
      </w:r>
      <w:r>
        <w:rPr>
          <w:rFonts w:ascii="Arial" w:eastAsia="Arial" w:hAnsi="Arial" w:cs="Arial"/>
          <w:color w:val="000000"/>
          <w:szCs w:val="22"/>
        </w:rPr>
        <w:t xml:space="preserve"> in data </w:t>
      </w:r>
      <w:r w:rsidR="00352C52">
        <w:rPr>
          <w:rFonts w:ascii="Arial" w:eastAsia="Arial" w:hAnsi="Arial" w:cs="Arial"/>
          <w:color w:val="000000"/>
          <w:szCs w:val="22"/>
        </w:rPr>
        <w:t xml:space="preserve"> </w:t>
      </w:r>
      <w:r>
        <w:rPr>
          <w:rFonts w:ascii="Arial" w:eastAsia="Arial" w:hAnsi="Arial" w:cs="Arial"/>
          <w:color w:val="000000"/>
          <w:szCs w:val="22"/>
        </w:rPr>
        <w:t>…../../202</w:t>
      </w:r>
      <w:r w:rsidR="005B7ACB">
        <w:rPr>
          <w:rFonts w:ascii="Arial" w:eastAsia="Arial" w:hAnsi="Arial" w:cs="Arial"/>
          <w:color w:val="000000"/>
          <w:szCs w:val="22"/>
        </w:rPr>
        <w:t>5</w:t>
      </w:r>
      <w:r>
        <w:rPr>
          <w:rFonts w:ascii="Arial" w:eastAsia="Arial" w:hAnsi="Arial" w:cs="Arial"/>
          <w:color w:val="000000"/>
          <w:szCs w:val="22"/>
        </w:rPr>
        <w:t xml:space="preserve"> </w:t>
      </w:r>
      <w:r w:rsidRPr="00305F9B">
        <w:rPr>
          <w:rFonts w:ascii="Arial" w:eastAsia="Arial" w:hAnsi="Arial" w:cs="Arial"/>
          <w:color w:val="auto"/>
          <w:szCs w:val="22"/>
        </w:rPr>
        <w:t>con verbale n….</w:t>
      </w:r>
    </w:p>
    <w:p w14:paraId="5184A0E1" w14:textId="2045FC64" w:rsidR="000F434D" w:rsidRDefault="000F434D" w:rsidP="000F434D">
      <w:pPr>
        <w:pBdr>
          <w:top w:val="nil"/>
          <w:left w:val="nil"/>
          <w:bottom w:val="nil"/>
          <w:right w:val="nil"/>
          <w:between w:val="nil"/>
        </w:pBdr>
        <w:spacing w:before="120" w:after="60" w:line="240" w:lineRule="auto"/>
        <w:ind w:hanging="2"/>
        <w:rPr>
          <w:rFonts w:ascii="Arial" w:eastAsia="Arial" w:hAnsi="Arial" w:cs="Arial"/>
          <w:color w:val="000000"/>
          <w:szCs w:val="22"/>
        </w:rPr>
      </w:pPr>
      <w:r>
        <w:rPr>
          <w:rFonts w:ascii="Arial" w:eastAsia="Arial" w:hAnsi="Arial" w:cs="Arial"/>
          <w:color w:val="000000"/>
          <w:szCs w:val="22"/>
        </w:rPr>
        <w:t>La gestione dell’anno 202</w:t>
      </w:r>
      <w:r w:rsidR="005B7ACB">
        <w:rPr>
          <w:rFonts w:ascii="Arial" w:eastAsia="Arial" w:hAnsi="Arial" w:cs="Arial"/>
          <w:color w:val="000000"/>
          <w:szCs w:val="22"/>
        </w:rPr>
        <w:t>4</w:t>
      </w:r>
      <w:r>
        <w:rPr>
          <w:rFonts w:ascii="Arial" w:eastAsia="Arial" w:hAnsi="Arial" w:cs="Arial"/>
          <w:color w:val="000000"/>
          <w:szCs w:val="22"/>
        </w:rPr>
        <w:t xml:space="preserve"> (</w:t>
      </w:r>
      <w:r>
        <w:rPr>
          <w:rFonts w:ascii="Arial" w:eastAsia="Arial" w:hAnsi="Arial" w:cs="Arial"/>
          <w:i/>
          <w:color w:val="000000"/>
          <w:szCs w:val="22"/>
        </w:rPr>
        <w:t>oppure: anno 202</w:t>
      </w:r>
      <w:r w:rsidR="005B7ACB">
        <w:rPr>
          <w:rFonts w:ascii="Arial" w:eastAsia="Arial" w:hAnsi="Arial" w:cs="Arial"/>
          <w:i/>
          <w:color w:val="000000"/>
          <w:szCs w:val="22"/>
        </w:rPr>
        <w:t>5</w:t>
      </w:r>
      <w:r>
        <w:rPr>
          <w:rFonts w:ascii="Arial" w:eastAsia="Arial" w:hAnsi="Arial" w:cs="Arial"/>
          <w:i/>
          <w:color w:val="000000"/>
          <w:szCs w:val="22"/>
        </w:rPr>
        <w:t xml:space="preserve"> se deliberato il rendiconto</w:t>
      </w:r>
      <w:r>
        <w:rPr>
          <w:rFonts w:ascii="Arial" w:eastAsia="Arial" w:hAnsi="Arial" w:cs="Arial"/>
          <w:color w:val="000000"/>
          <w:szCs w:val="22"/>
        </w:rPr>
        <w:t>) si è chiusa con un risultato di amministrazione al 31/12/202</w:t>
      </w:r>
      <w:r w:rsidR="005B7ACB">
        <w:rPr>
          <w:rFonts w:ascii="Arial" w:eastAsia="Arial" w:hAnsi="Arial" w:cs="Arial"/>
          <w:color w:val="000000"/>
          <w:szCs w:val="22"/>
        </w:rPr>
        <w:t>4</w:t>
      </w:r>
      <w:r>
        <w:rPr>
          <w:rFonts w:ascii="Arial" w:eastAsia="Arial" w:hAnsi="Arial" w:cs="Arial"/>
          <w:color w:val="000000"/>
          <w:szCs w:val="22"/>
        </w:rPr>
        <w:t xml:space="preserve"> (oppure: al 31/12/202</w:t>
      </w:r>
      <w:r w:rsidR="005B7ACB">
        <w:rPr>
          <w:rFonts w:ascii="Arial" w:eastAsia="Arial" w:hAnsi="Arial" w:cs="Arial"/>
          <w:color w:val="000000"/>
          <w:szCs w:val="22"/>
        </w:rPr>
        <w:t>5</w:t>
      </w:r>
      <w:r>
        <w:rPr>
          <w:rFonts w:ascii="Arial" w:eastAsia="Arial" w:hAnsi="Arial" w:cs="Arial"/>
          <w:color w:val="000000"/>
          <w:szCs w:val="22"/>
        </w:rPr>
        <w:t xml:space="preserve"> se deliberato il rendiconto) così distinto ai sensi dell’art.187 del TUEL:</w:t>
      </w:r>
    </w:p>
    <w:p w14:paraId="1D4CC3DD" w14:textId="77777777" w:rsidR="001B0735" w:rsidRDefault="001B0735" w:rsidP="000F434D">
      <w:pPr>
        <w:pBdr>
          <w:top w:val="nil"/>
          <w:left w:val="nil"/>
          <w:bottom w:val="nil"/>
          <w:right w:val="nil"/>
          <w:between w:val="nil"/>
        </w:pBdr>
        <w:spacing w:before="120" w:after="60" w:line="240" w:lineRule="auto"/>
        <w:ind w:hanging="2"/>
        <w:rPr>
          <w:rFonts w:ascii="Arial" w:eastAsia="Arial" w:hAnsi="Arial" w:cs="Arial"/>
          <w:color w:val="000000"/>
          <w:szCs w:val="22"/>
        </w:rPr>
      </w:pPr>
    </w:p>
    <w:bookmarkStart w:id="16" w:name="_heading=h.1t3h5sf" w:colFirst="0" w:colLast="0"/>
    <w:bookmarkEnd w:id="16"/>
    <w:p w14:paraId="681CC834" w14:textId="368A980A" w:rsidR="000F434D" w:rsidRPr="00135AF1" w:rsidRDefault="000F434D" w:rsidP="000F434D">
      <w:pPr>
        <w:pBdr>
          <w:top w:val="nil"/>
          <w:left w:val="nil"/>
          <w:bottom w:val="nil"/>
          <w:right w:val="nil"/>
          <w:between w:val="nil"/>
        </w:pBdr>
        <w:spacing w:before="120" w:after="60" w:line="240" w:lineRule="auto"/>
        <w:ind w:hanging="2"/>
        <w:jc w:val="center"/>
        <w:rPr>
          <w:rFonts w:ascii="Arial" w:eastAsia="Arial" w:hAnsi="Arial" w:cs="Arial"/>
          <w:b/>
          <w:bCs/>
          <w:color w:val="000000"/>
          <w:szCs w:val="22"/>
        </w:rPr>
      </w:pPr>
      <w:r w:rsidRPr="00135AF1">
        <w:rPr>
          <w:b/>
          <w:bCs/>
        </w:rPr>
        <w:fldChar w:fldCharType="begin"/>
      </w:r>
      <w:r w:rsidRPr="00135AF1">
        <w:rPr>
          <w:b/>
          <w:bCs/>
        </w:rPr>
        <w:instrText xml:space="preserve"> HYPERLINK "http://../TabPrev2022-2024.xls" </w:instrText>
      </w:r>
      <w:r w:rsidRPr="00135AF1">
        <w:rPr>
          <w:b/>
          <w:bCs/>
        </w:rPr>
      </w:r>
      <w:r w:rsidRPr="00135AF1">
        <w:rPr>
          <w:b/>
          <w:bCs/>
        </w:rPr>
        <w:fldChar w:fldCharType="separate"/>
      </w:r>
      <w:bookmarkStart w:id="17" w:name="_MON_1731160050"/>
      <w:bookmarkEnd w:id="17"/>
      <w:r w:rsidR="001B0735" w:rsidRPr="00135AF1">
        <w:rPr>
          <w:rFonts w:ascii="Arial" w:eastAsia="Arial" w:hAnsi="Arial" w:cs="Arial"/>
          <w:b/>
          <w:bCs/>
          <w:color w:val="000000"/>
          <w:szCs w:val="22"/>
        </w:rPr>
        <w:t>TABELLA 1</w:t>
      </w:r>
    </w:p>
    <w:p w14:paraId="33396562" w14:textId="77777777" w:rsidR="000F434D" w:rsidRDefault="000F434D" w:rsidP="000F434D">
      <w:pPr>
        <w:pBdr>
          <w:top w:val="nil"/>
          <w:left w:val="nil"/>
          <w:bottom w:val="nil"/>
          <w:right w:val="nil"/>
          <w:between w:val="nil"/>
        </w:pBdr>
        <w:spacing w:before="120" w:after="60" w:line="240" w:lineRule="auto"/>
        <w:ind w:hanging="2"/>
        <w:rPr>
          <w:rFonts w:ascii="Arial" w:eastAsia="Arial" w:hAnsi="Arial" w:cs="Arial"/>
          <w:szCs w:val="22"/>
        </w:rPr>
      </w:pPr>
      <w:r w:rsidRPr="00135AF1">
        <w:rPr>
          <w:b/>
          <w:bCs/>
        </w:rPr>
        <w:fldChar w:fldCharType="end"/>
      </w:r>
    </w:p>
    <w:p w14:paraId="3BF3290F" w14:textId="01A626B4" w:rsidR="000F434D" w:rsidRPr="00305F9B"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305F9B">
        <w:rPr>
          <w:rFonts w:ascii="Arial" w:eastAsia="Arial" w:hAnsi="Arial" w:cs="Arial"/>
          <w:color w:val="auto"/>
          <w:szCs w:val="22"/>
        </w:rPr>
        <w:t>di cui applicato all’esercizio 202</w:t>
      </w:r>
      <w:r w:rsidR="005B7ACB">
        <w:rPr>
          <w:rFonts w:ascii="Arial" w:eastAsia="Arial" w:hAnsi="Arial" w:cs="Arial"/>
          <w:color w:val="auto"/>
          <w:szCs w:val="22"/>
        </w:rPr>
        <w:t>5</w:t>
      </w:r>
      <w:r w:rsidR="00365127">
        <w:rPr>
          <w:rFonts w:ascii="Arial" w:eastAsia="Arial" w:hAnsi="Arial" w:cs="Arial"/>
          <w:color w:val="auto"/>
          <w:szCs w:val="22"/>
        </w:rPr>
        <w:t>, sino alla data di presentazione del bilancio di previsione 2026</w:t>
      </w:r>
      <w:r w:rsidR="004339F8">
        <w:rPr>
          <w:rFonts w:ascii="Arial" w:eastAsia="Arial" w:hAnsi="Arial" w:cs="Arial"/>
          <w:color w:val="auto"/>
          <w:szCs w:val="22"/>
        </w:rPr>
        <w:t>-2028,</w:t>
      </w:r>
      <w:r w:rsidRPr="00305F9B">
        <w:rPr>
          <w:rFonts w:ascii="Arial" w:eastAsia="Arial" w:hAnsi="Arial" w:cs="Arial"/>
          <w:color w:val="auto"/>
          <w:szCs w:val="22"/>
        </w:rPr>
        <w:t xml:space="preserve"> per un totale di euro…. così dettagliato:</w:t>
      </w:r>
    </w:p>
    <w:p w14:paraId="7A7AF0B9" w14:textId="287C278B" w:rsidR="000F434D" w:rsidRPr="00305F9B" w:rsidRDefault="000F434D">
      <w:pPr>
        <w:numPr>
          <w:ilvl w:val="0"/>
          <w:numId w:val="7"/>
        </w:numPr>
        <w:pBdr>
          <w:top w:val="nil"/>
          <w:left w:val="nil"/>
          <w:bottom w:val="nil"/>
          <w:right w:val="nil"/>
          <w:between w:val="nil"/>
        </w:pBdr>
        <w:suppressAutoHyphens/>
        <w:spacing w:before="120"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accantonate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5971E5F6" w14:textId="3E05B55F"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vincolate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18FF8D8" w14:textId="1753919A"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Quote destinate agli investimenti</w:t>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B4A2E38" w14:textId="79ABEF8D" w:rsidR="000F434D" w:rsidRPr="00305F9B" w:rsidRDefault="000F434D">
      <w:pPr>
        <w:numPr>
          <w:ilvl w:val="0"/>
          <w:numId w:val="7"/>
        </w:numPr>
        <w:pBdr>
          <w:top w:val="nil"/>
          <w:left w:val="nil"/>
          <w:bottom w:val="nil"/>
          <w:right w:val="nil"/>
          <w:between w:val="nil"/>
        </w:pBdr>
        <w:suppressAutoHyphens/>
        <w:spacing w:after="6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disponibili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37DBD337" w14:textId="77777777" w:rsidR="000F434D" w:rsidRPr="004B4CFE"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778B9F84" w14:textId="37AA17FD" w:rsidR="00FA0B25" w:rsidRPr="004B4CFE" w:rsidRDefault="00FE7911"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
          <w:bCs/>
          <w:color w:val="auto"/>
          <w:szCs w:val="22"/>
        </w:rPr>
        <w:t>ha rilasciato/non ha rilasciato</w:t>
      </w:r>
      <w:r w:rsidRPr="004B4CFE">
        <w:rPr>
          <w:rFonts w:ascii="Arial" w:eastAsia="Arial" w:hAnsi="Arial" w:cs="Arial"/>
          <w:color w:val="auto"/>
          <w:szCs w:val="22"/>
        </w:rPr>
        <w:t xml:space="preserve"> il proprio parere sul provvedimento di salvaguardia ed assestamento 202</w:t>
      </w:r>
      <w:r w:rsidR="005B7ACB">
        <w:rPr>
          <w:rFonts w:ascii="Arial" w:eastAsia="Arial" w:hAnsi="Arial" w:cs="Arial"/>
          <w:color w:val="auto"/>
          <w:szCs w:val="22"/>
        </w:rPr>
        <w:t>5</w:t>
      </w:r>
      <w:r w:rsidR="004339F8">
        <w:rPr>
          <w:rFonts w:ascii="Arial" w:eastAsia="Arial" w:hAnsi="Arial" w:cs="Arial"/>
          <w:color w:val="auto"/>
          <w:szCs w:val="22"/>
        </w:rPr>
        <w:t xml:space="preserve"> con verbale n……del</w:t>
      </w:r>
      <w:r w:rsidR="00352C52">
        <w:rPr>
          <w:rFonts w:ascii="Arial" w:eastAsia="Arial" w:hAnsi="Arial" w:cs="Arial"/>
          <w:color w:val="auto"/>
          <w:szCs w:val="22"/>
        </w:rPr>
        <w:t xml:space="preserve"> ….</w:t>
      </w:r>
      <w:r w:rsidR="00D96A8E" w:rsidRPr="004B4CFE">
        <w:rPr>
          <w:rFonts w:ascii="Arial" w:eastAsia="Arial" w:hAnsi="Arial" w:cs="Arial"/>
          <w:color w:val="auto"/>
          <w:szCs w:val="22"/>
        </w:rPr>
        <w:t>.</w:t>
      </w:r>
    </w:p>
    <w:p w14:paraId="25F6D967" w14:textId="6E9AFC30" w:rsidR="009751A3" w:rsidRPr="00B96B45" w:rsidRDefault="00BF1513" w:rsidP="009751A3">
      <w:pPr>
        <w:pStyle w:val="Titolo1"/>
        <w:numPr>
          <w:ilvl w:val="0"/>
          <w:numId w:val="0"/>
        </w:numPr>
        <w:ind w:left="357" w:hanging="357"/>
        <w:rPr>
          <w:rFonts w:ascii="Cambria" w:eastAsia="Cambria" w:hAnsi="Cambria" w:cs="Cambria"/>
          <w:b w:val="0"/>
          <w:i/>
          <w:iCs/>
          <w:color w:val="000000"/>
          <w:szCs w:val="28"/>
        </w:rPr>
      </w:pPr>
      <w:bookmarkStart w:id="18" w:name="_Toc219808160"/>
      <w:r w:rsidRPr="00B96B45">
        <w:rPr>
          <w:i/>
          <w:iCs/>
        </w:rPr>
        <w:t>5.</w:t>
      </w:r>
      <w:r w:rsidR="00B542CD">
        <w:rPr>
          <w:i/>
          <w:iCs/>
        </w:rPr>
        <w:t>1</w:t>
      </w:r>
      <w:r w:rsidR="009751A3" w:rsidRPr="00B96B45">
        <w:rPr>
          <w:i/>
          <w:iCs/>
        </w:rPr>
        <w:t xml:space="preserve"> Debiti fuori bilancio</w:t>
      </w:r>
      <w:bookmarkEnd w:id="18"/>
    </w:p>
    <w:p w14:paraId="16F72CAA" w14:textId="082EE20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sidRPr="00BF1513">
        <w:rPr>
          <w:rFonts w:ascii="Arial" w:eastAsia="Arial" w:hAnsi="Arial" w:cs="Arial"/>
          <w:b/>
          <w:bCs/>
          <w:color w:val="000000"/>
          <w:szCs w:val="22"/>
        </w:rPr>
        <w:t>non è stata</w:t>
      </w:r>
      <w:r w:rsidR="00085541">
        <w:rPr>
          <w:rFonts w:ascii="Arial" w:eastAsia="Arial" w:hAnsi="Arial" w:cs="Arial"/>
          <w:b/>
          <w:bCs/>
          <w:color w:val="000000"/>
          <w:szCs w:val="22"/>
        </w:rPr>
        <w:t xml:space="preserve"> rilevata</w:t>
      </w:r>
      <w:r w:rsidRPr="00BF1513">
        <w:rPr>
          <w:rFonts w:ascii="Arial" w:eastAsia="Arial" w:hAnsi="Arial" w:cs="Arial"/>
          <w:b/>
          <w:bCs/>
          <w:color w:val="000000"/>
          <w:szCs w:val="22"/>
        </w:rPr>
        <w:t>/ è stata rilevata</w:t>
      </w:r>
      <w:r w:rsidRPr="007F3E98">
        <w:rPr>
          <w:rFonts w:ascii="Arial" w:eastAsia="Arial" w:hAnsi="Arial" w:cs="Arial"/>
          <w:color w:val="000000"/>
          <w:szCs w:val="22"/>
        </w:rPr>
        <w:t>,</w:t>
      </w:r>
      <w:r>
        <w:rPr>
          <w:rFonts w:ascii="Arial" w:eastAsia="Arial" w:hAnsi="Arial" w:cs="Arial"/>
          <w:color w:val="000000"/>
          <w:szCs w:val="22"/>
        </w:rPr>
        <w:t xml:space="preserve"> </w:t>
      </w:r>
      <w:r w:rsidRPr="007F3E98">
        <w:rPr>
          <w:rFonts w:ascii="Arial" w:eastAsia="Arial" w:hAnsi="Arial" w:cs="Arial"/>
          <w:color w:val="000000"/>
          <w:szCs w:val="22"/>
        </w:rPr>
        <w:t>anche</w:t>
      </w:r>
      <w:r>
        <w:rPr>
          <w:rFonts w:ascii="Arial" w:eastAsia="Arial" w:hAnsi="Arial" w:cs="Arial"/>
          <w:color w:val="000000"/>
          <w:szCs w:val="22"/>
        </w:rPr>
        <w:t xml:space="preserve"> </w:t>
      </w:r>
      <w:r w:rsidRPr="007F3E98">
        <w:rPr>
          <w:rFonts w:ascii="Arial" w:eastAsia="Arial" w:hAnsi="Arial" w:cs="Arial"/>
          <w:color w:val="000000"/>
          <w:szCs w:val="22"/>
        </w:rPr>
        <w:t>mediante</w:t>
      </w:r>
      <w:r>
        <w:rPr>
          <w:rFonts w:ascii="Arial" w:eastAsia="Arial" w:hAnsi="Arial" w:cs="Arial"/>
          <w:color w:val="000000"/>
          <w:szCs w:val="22"/>
        </w:rPr>
        <w:t xml:space="preserve"> </w:t>
      </w:r>
      <w:r w:rsidRPr="007F3E98">
        <w:rPr>
          <w:rFonts w:ascii="Arial" w:eastAsia="Arial" w:hAnsi="Arial" w:cs="Arial"/>
          <w:color w:val="000000"/>
          <w:szCs w:val="22"/>
        </w:rPr>
        <w:t>l'acquisizione</w:t>
      </w:r>
      <w:r>
        <w:rPr>
          <w:rFonts w:ascii="Arial" w:eastAsia="Arial" w:hAnsi="Arial" w:cs="Arial"/>
          <w:color w:val="000000"/>
          <w:szCs w:val="22"/>
        </w:rPr>
        <w:t xml:space="preserve"> </w:t>
      </w:r>
      <w:r w:rsidRPr="007F3E98">
        <w:rPr>
          <w:rFonts w:ascii="Arial" w:eastAsia="Arial" w:hAnsi="Arial" w:cs="Arial"/>
          <w:color w:val="000000"/>
          <w:szCs w:val="22"/>
        </w:rPr>
        <w:t>delle</w:t>
      </w:r>
      <w:r>
        <w:rPr>
          <w:rFonts w:ascii="Arial" w:eastAsia="Arial" w:hAnsi="Arial" w:cs="Arial"/>
          <w:color w:val="000000"/>
          <w:szCs w:val="22"/>
        </w:rPr>
        <w:t xml:space="preserve"> </w:t>
      </w:r>
      <w:r w:rsidRPr="007F3E98">
        <w:rPr>
          <w:rFonts w:ascii="Arial" w:eastAsia="Arial" w:hAnsi="Arial" w:cs="Arial"/>
          <w:color w:val="000000"/>
          <w:szCs w:val="22"/>
        </w:rPr>
        <w:t>attestazioni</w:t>
      </w:r>
      <w:r>
        <w:rPr>
          <w:rFonts w:ascii="Arial" w:eastAsia="Arial" w:hAnsi="Arial" w:cs="Arial"/>
          <w:color w:val="000000"/>
          <w:szCs w:val="22"/>
        </w:rPr>
        <w:t xml:space="preserve"> </w:t>
      </w:r>
      <w:r w:rsidRPr="007F3E98">
        <w:rPr>
          <w:rFonts w:ascii="Arial" w:eastAsia="Arial" w:hAnsi="Arial" w:cs="Arial"/>
          <w:color w:val="000000"/>
          <w:szCs w:val="22"/>
        </w:rPr>
        <w:t>dei</w:t>
      </w:r>
      <w:r>
        <w:rPr>
          <w:rFonts w:ascii="Arial" w:eastAsia="Arial" w:hAnsi="Arial" w:cs="Arial"/>
          <w:color w:val="000000"/>
          <w:szCs w:val="22"/>
        </w:rPr>
        <w:t xml:space="preserve"> </w:t>
      </w:r>
      <w:r w:rsidRPr="007F3E98">
        <w:rPr>
          <w:rFonts w:ascii="Arial" w:eastAsia="Arial" w:hAnsi="Arial" w:cs="Arial"/>
          <w:color w:val="000000"/>
          <w:szCs w:val="22"/>
        </w:rPr>
        <w:t>responsabili</w:t>
      </w:r>
      <w:r>
        <w:rPr>
          <w:rFonts w:ascii="Arial" w:eastAsia="Arial" w:hAnsi="Arial" w:cs="Arial"/>
          <w:color w:val="000000"/>
          <w:szCs w:val="22"/>
        </w:rPr>
        <w:t xml:space="preserve"> </w:t>
      </w:r>
      <w:r w:rsidRPr="007F3E98">
        <w:rPr>
          <w:rFonts w:ascii="Arial" w:eastAsia="Arial" w:hAnsi="Arial" w:cs="Arial"/>
          <w:color w:val="000000"/>
          <w:szCs w:val="22"/>
        </w:rPr>
        <w:t>dei servizi</w:t>
      </w:r>
      <w:r w:rsidR="00FE7911">
        <w:rPr>
          <w:rFonts w:ascii="Arial" w:eastAsia="Arial" w:hAnsi="Arial" w:cs="Arial"/>
          <w:color w:val="000000"/>
          <w:szCs w:val="22"/>
        </w:rPr>
        <w:t xml:space="preserve"> entro una data utile per la formulazione delle previsioni di bilancio</w:t>
      </w:r>
      <w:r w:rsidRPr="007F3E98">
        <w:rPr>
          <w:rFonts w:ascii="Arial" w:eastAsia="Arial" w:hAnsi="Arial" w:cs="Arial"/>
          <w:color w:val="000000"/>
          <w:szCs w:val="22"/>
        </w:rPr>
        <w:t>, la sussistenza di debiti fuori bilancio da riconoscere e finanziare</w:t>
      </w:r>
      <w:r>
        <w:rPr>
          <w:rFonts w:ascii="Arial" w:eastAsia="Arial" w:hAnsi="Arial" w:cs="Arial"/>
          <w:color w:val="000000"/>
          <w:szCs w:val="22"/>
        </w:rPr>
        <w:t xml:space="preserve">. </w:t>
      </w:r>
    </w:p>
    <w:p w14:paraId="23794423" w14:textId="57C5BBA5" w:rsidR="009751A3" w:rsidRPr="00CF7814" w:rsidRDefault="009751A3" w:rsidP="009751A3">
      <w:pPr>
        <w:pBdr>
          <w:top w:val="nil"/>
          <w:left w:val="nil"/>
          <w:bottom w:val="nil"/>
          <w:right w:val="nil"/>
          <w:between w:val="nil"/>
        </w:pBdr>
        <w:spacing w:line="240" w:lineRule="auto"/>
        <w:ind w:hanging="2"/>
        <w:rPr>
          <w:rFonts w:ascii="Arial" w:eastAsia="Arial" w:hAnsi="Arial" w:cs="Arial"/>
          <w:i/>
          <w:iCs/>
          <w:color w:val="000000"/>
          <w:szCs w:val="22"/>
        </w:rPr>
      </w:pPr>
      <w:r w:rsidRPr="00CF7814">
        <w:rPr>
          <w:rFonts w:ascii="Arial" w:eastAsia="Arial" w:hAnsi="Arial" w:cs="Arial"/>
          <w:i/>
          <w:iCs/>
          <w:color w:val="000000"/>
          <w:szCs w:val="22"/>
        </w:rPr>
        <w:t>(</w:t>
      </w:r>
      <w:r w:rsidRPr="00085541">
        <w:rPr>
          <w:rFonts w:ascii="Arial" w:eastAsia="Arial" w:hAnsi="Arial" w:cs="Arial"/>
          <w:i/>
          <w:iCs/>
          <w:color w:val="00B0F0"/>
          <w:szCs w:val="22"/>
        </w:rPr>
        <w:t xml:space="preserve">in caso di risposta </w:t>
      </w:r>
      <w:r w:rsidR="00160626" w:rsidRPr="00085541">
        <w:rPr>
          <w:rFonts w:ascii="Arial" w:eastAsia="Arial" w:hAnsi="Arial" w:cs="Arial"/>
          <w:i/>
          <w:iCs/>
          <w:color w:val="00B0F0"/>
          <w:szCs w:val="22"/>
        </w:rPr>
        <w:t>affermativa)</w:t>
      </w:r>
      <w:r w:rsidRPr="00CF7814">
        <w:rPr>
          <w:rFonts w:ascii="Arial" w:eastAsia="Arial" w:hAnsi="Arial" w:cs="Arial"/>
          <w:i/>
          <w:iCs/>
          <w:color w:val="000000"/>
          <w:szCs w:val="22"/>
        </w:rPr>
        <w:t xml:space="preserve"> </w:t>
      </w:r>
    </w:p>
    <w:p w14:paraId="7E37A60A" w14:textId="6A16285D"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risultano debiti fuori bilancio per un importo pari a </w:t>
      </w:r>
      <w:r w:rsidR="00160626">
        <w:rPr>
          <w:rFonts w:ascii="Arial" w:eastAsia="Arial" w:hAnsi="Arial" w:cs="Arial"/>
          <w:color w:val="000000"/>
          <w:szCs w:val="22"/>
        </w:rPr>
        <w:t>euro</w:t>
      </w:r>
      <w:r w:rsidR="00BF1513">
        <w:rPr>
          <w:rFonts w:ascii="Arial" w:eastAsia="Arial" w:hAnsi="Arial" w:cs="Arial"/>
          <w:color w:val="000000"/>
          <w:szCs w:val="22"/>
        </w:rPr>
        <w:t xml:space="preserve"> </w:t>
      </w:r>
      <w:r>
        <w:rPr>
          <w:rFonts w:ascii="Arial" w:eastAsia="Arial" w:hAnsi="Arial" w:cs="Arial"/>
          <w:color w:val="000000"/>
          <w:szCs w:val="22"/>
        </w:rPr>
        <w:t>_____e a tal fine nelle previsioni 202</w:t>
      </w:r>
      <w:r w:rsidR="005B7ACB">
        <w:rPr>
          <w:rFonts w:ascii="Arial" w:eastAsia="Arial" w:hAnsi="Arial" w:cs="Arial"/>
          <w:color w:val="000000"/>
          <w:szCs w:val="22"/>
        </w:rPr>
        <w:t>6</w:t>
      </w:r>
      <w:r>
        <w:rPr>
          <w:rFonts w:ascii="Arial" w:eastAsia="Arial" w:hAnsi="Arial" w:cs="Arial"/>
          <w:color w:val="000000"/>
          <w:szCs w:val="22"/>
        </w:rPr>
        <w:t>-202</w:t>
      </w:r>
      <w:r w:rsidR="005B7ACB">
        <w:rPr>
          <w:rFonts w:ascii="Arial" w:eastAsia="Arial" w:hAnsi="Arial" w:cs="Arial"/>
          <w:color w:val="000000"/>
          <w:szCs w:val="22"/>
        </w:rPr>
        <w:t>8</w:t>
      </w:r>
      <w:r>
        <w:rPr>
          <w:rFonts w:ascii="Arial" w:eastAsia="Arial" w:hAnsi="Arial" w:cs="Arial"/>
          <w:color w:val="000000"/>
          <w:szCs w:val="22"/>
        </w:rPr>
        <w:t xml:space="preserve"> l’importo stanziato a copertura è pari a </w:t>
      </w:r>
      <w:r w:rsidR="00160626">
        <w:rPr>
          <w:rFonts w:ascii="Arial" w:eastAsia="Arial" w:hAnsi="Arial" w:cs="Arial"/>
          <w:color w:val="000000"/>
          <w:szCs w:val="22"/>
        </w:rPr>
        <w:t>euro</w:t>
      </w:r>
      <w:r>
        <w:rPr>
          <w:rFonts w:ascii="Arial" w:eastAsia="Arial" w:hAnsi="Arial" w:cs="Arial"/>
          <w:color w:val="000000"/>
          <w:szCs w:val="22"/>
        </w:rPr>
        <w:t>________</w:t>
      </w:r>
    </w:p>
    <w:p w14:paraId="1C3A6291"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L’Organo di revisione ha verificato che dalle comunicazioni ricevute e dalle verifiche effettuate non risultano passività potenziali probabili per una entità superiore al fondo accantonato nel risultato d’amministrazione. </w:t>
      </w:r>
    </w:p>
    <w:p w14:paraId="06E42228"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 xml:space="preserve">): </w:t>
      </w:r>
    </w:p>
    <w:p w14:paraId="78FF04F6" w14:textId="09613F7B"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e dalle verifiche effettuate risultano passività potenziali probabili di entità superiore al fondo accantonato nel risultato di amministrazione per </w:t>
      </w:r>
      <w:r w:rsidR="00E73D7F">
        <w:rPr>
          <w:rFonts w:ascii="Arial" w:eastAsia="Arial" w:hAnsi="Arial" w:cs="Arial"/>
          <w:color w:val="000000"/>
          <w:szCs w:val="22"/>
        </w:rPr>
        <w:t xml:space="preserve">cui </w:t>
      </w:r>
      <w:r w:rsidR="00FE7911">
        <w:rPr>
          <w:rFonts w:ascii="Arial" w:eastAsia="Arial" w:hAnsi="Arial" w:cs="Arial"/>
          <w:color w:val="000000"/>
          <w:szCs w:val="22"/>
        </w:rPr>
        <w:t xml:space="preserve">l’Organo di revisione invita </w:t>
      </w:r>
      <w:r>
        <w:rPr>
          <w:rFonts w:ascii="Arial" w:eastAsia="Arial" w:hAnsi="Arial" w:cs="Arial"/>
          <w:color w:val="000000"/>
          <w:szCs w:val="22"/>
        </w:rPr>
        <w:t>l’Ente al finanziamento nel bilancio di previsione 202</w:t>
      </w:r>
      <w:r w:rsidR="009C38AA">
        <w:rPr>
          <w:rFonts w:ascii="Arial" w:eastAsia="Arial" w:hAnsi="Arial" w:cs="Arial"/>
          <w:color w:val="000000"/>
          <w:szCs w:val="22"/>
        </w:rPr>
        <w:t>6</w:t>
      </w:r>
      <w:r>
        <w:rPr>
          <w:rFonts w:ascii="Arial" w:eastAsia="Arial" w:hAnsi="Arial" w:cs="Arial"/>
          <w:color w:val="000000"/>
          <w:szCs w:val="22"/>
        </w:rPr>
        <w:t>-202</w:t>
      </w:r>
      <w:r w:rsidR="009C38AA">
        <w:rPr>
          <w:rFonts w:ascii="Arial" w:eastAsia="Arial" w:hAnsi="Arial" w:cs="Arial"/>
          <w:color w:val="000000"/>
          <w:szCs w:val="22"/>
        </w:rPr>
        <w:t>8</w:t>
      </w:r>
      <w:r>
        <w:rPr>
          <w:rFonts w:ascii="Arial" w:eastAsia="Arial" w:hAnsi="Arial" w:cs="Arial"/>
          <w:color w:val="000000"/>
          <w:szCs w:val="22"/>
        </w:rPr>
        <w:t>.</w:t>
      </w:r>
    </w:p>
    <w:p w14:paraId="01E1CC3C" w14:textId="77777777" w:rsidR="009751A3" w:rsidRDefault="009751A3" w:rsidP="0006092D">
      <w:pPr>
        <w:pBdr>
          <w:top w:val="nil"/>
          <w:left w:val="nil"/>
          <w:bottom w:val="nil"/>
          <w:right w:val="nil"/>
          <w:between w:val="nil"/>
        </w:pBdr>
        <w:spacing w:before="120" w:after="60" w:line="240" w:lineRule="auto"/>
        <w:outlineLvl w:val="0"/>
        <w:rPr>
          <w:rFonts w:ascii="Arial" w:eastAsia="Arial" w:hAnsi="Arial" w:cs="Arial"/>
          <w:szCs w:val="22"/>
        </w:rPr>
      </w:pPr>
    </w:p>
    <w:p w14:paraId="5DF0F6C5" w14:textId="44E99FBA" w:rsidR="00FA0B25" w:rsidRPr="00B62E12" w:rsidRDefault="00160626" w:rsidP="0006092D">
      <w:pPr>
        <w:spacing w:before="120" w:after="60" w:line="240" w:lineRule="auto"/>
        <w:outlineLvl w:val="0"/>
        <w:rPr>
          <w:rFonts w:ascii="Arial" w:eastAsia="Arial" w:hAnsi="Arial" w:cs="Arial"/>
          <w:i/>
          <w:iCs/>
          <w:color w:val="FF0000"/>
          <w:szCs w:val="22"/>
        </w:rPr>
      </w:pPr>
      <w:bookmarkStart w:id="19" w:name="_Toc219808161"/>
      <w:r w:rsidRPr="00B96B45">
        <w:rPr>
          <w:rFonts w:ascii="Calibri" w:eastAsiaTheme="majorEastAsia" w:hAnsi="Calibri" w:cs="Times New Roman (Titoli CS)"/>
          <w:b/>
          <w:i/>
          <w:iCs/>
          <w:color w:val="C00000"/>
          <w:sz w:val="28"/>
          <w:szCs w:val="40"/>
        </w:rPr>
        <w:t>5.</w:t>
      </w:r>
      <w:r>
        <w:rPr>
          <w:rFonts w:ascii="Calibri" w:eastAsiaTheme="majorEastAsia" w:hAnsi="Calibri" w:cs="Times New Roman (Titoli CS)"/>
          <w:b/>
          <w:i/>
          <w:iCs/>
          <w:color w:val="C00000"/>
          <w:sz w:val="28"/>
          <w:szCs w:val="40"/>
        </w:rPr>
        <w:t>2</w:t>
      </w:r>
      <w:r w:rsidRPr="00B96B45">
        <w:rPr>
          <w:rFonts w:ascii="Calibri" w:eastAsiaTheme="majorEastAsia" w:hAnsi="Calibri" w:cs="Times New Roman (Titoli CS)"/>
          <w:b/>
          <w:i/>
          <w:iCs/>
          <w:color w:val="C00000"/>
          <w:sz w:val="28"/>
          <w:szCs w:val="40"/>
        </w:rPr>
        <w:t xml:space="preserve"> Enti</w:t>
      </w:r>
      <w:r w:rsidR="00B96B45" w:rsidRPr="00B96B45">
        <w:rPr>
          <w:rFonts w:ascii="Calibri" w:eastAsiaTheme="majorEastAsia" w:hAnsi="Calibri" w:cs="Times New Roman (Titoli CS)"/>
          <w:b/>
          <w:i/>
          <w:iCs/>
          <w:color w:val="C00000"/>
          <w:sz w:val="28"/>
          <w:szCs w:val="40"/>
        </w:rPr>
        <w:t xml:space="preserve"> in disavanzo</w:t>
      </w:r>
      <w:r w:rsidR="00F3755A" w:rsidRPr="00BF1513">
        <w:rPr>
          <w:rFonts w:ascii="Calibri" w:eastAsiaTheme="majorEastAsia" w:hAnsi="Calibri" w:cs="Times New Roman (Titoli CS)"/>
          <w:b/>
          <w:color w:val="C00000"/>
          <w:sz w:val="28"/>
          <w:szCs w:val="40"/>
        </w:rPr>
        <w:t xml:space="preserve"> </w:t>
      </w:r>
      <w:r w:rsidR="00F3755A" w:rsidRPr="00B62E12">
        <w:rPr>
          <w:rFonts w:ascii="Arial" w:eastAsia="Arial" w:hAnsi="Arial" w:cs="Arial"/>
          <w:i/>
          <w:iCs/>
          <w:color w:val="FF0000"/>
          <w:szCs w:val="22"/>
        </w:rPr>
        <w:t>(da compilare solo se ricorre la fattispecie)</w:t>
      </w:r>
      <w:bookmarkEnd w:id="19"/>
    </w:p>
    <w:p w14:paraId="329CC1FC" w14:textId="77777777" w:rsidR="00135AF1" w:rsidRDefault="00135AF1" w:rsidP="00B62E12">
      <w:pPr>
        <w:spacing w:before="120" w:after="60" w:line="240" w:lineRule="auto"/>
        <w:ind w:hanging="2"/>
        <w:rPr>
          <w:rFonts w:ascii="Arial" w:eastAsia="Arial" w:hAnsi="Arial" w:cs="Arial"/>
          <w:color w:val="000000"/>
          <w:szCs w:val="22"/>
          <w:u w:val="single"/>
        </w:rPr>
      </w:pPr>
    </w:p>
    <w:p w14:paraId="4A4984B9" w14:textId="7E1D1273" w:rsidR="000F434D" w:rsidRPr="00135AF1" w:rsidRDefault="00135AF1" w:rsidP="00B62E12">
      <w:pPr>
        <w:spacing w:before="120" w:after="60" w:line="240" w:lineRule="auto"/>
        <w:ind w:hanging="2"/>
        <w:jc w:val="center"/>
        <w:rPr>
          <w:rFonts w:ascii="Arial" w:eastAsia="Arial" w:hAnsi="Arial" w:cs="Arial"/>
          <w:b/>
          <w:bCs/>
          <w:iCs/>
          <w:color w:val="000000"/>
          <w:szCs w:val="22"/>
        </w:rPr>
      </w:pPr>
      <w:bookmarkStart w:id="20" w:name="_heading=h.4d34og8" w:colFirst="0" w:colLast="0"/>
      <w:bookmarkEnd w:id="20"/>
      <w:r w:rsidRPr="00135AF1">
        <w:rPr>
          <w:rFonts w:ascii="Arial" w:eastAsia="Arial" w:hAnsi="Arial" w:cs="Arial"/>
          <w:b/>
          <w:bCs/>
          <w:iCs/>
          <w:color w:val="000000"/>
          <w:szCs w:val="22"/>
        </w:rPr>
        <w:t>TABELLA 2</w:t>
      </w:r>
    </w:p>
    <w:p w14:paraId="5835C0B9" w14:textId="77777777" w:rsidR="00135AF1" w:rsidRPr="00135AF1" w:rsidRDefault="00135AF1" w:rsidP="00B62E12">
      <w:pPr>
        <w:spacing w:before="120" w:after="60" w:line="240" w:lineRule="auto"/>
        <w:ind w:hanging="2"/>
        <w:jc w:val="center"/>
        <w:rPr>
          <w:rFonts w:ascii="Arial" w:eastAsia="Arial" w:hAnsi="Arial" w:cs="Arial"/>
          <w:iCs/>
          <w:color w:val="000000"/>
          <w:szCs w:val="22"/>
        </w:rPr>
      </w:pPr>
    </w:p>
    <w:p w14:paraId="01757F55" w14:textId="5FA4E3ED" w:rsidR="000F434D" w:rsidRDefault="000F434D" w:rsidP="00B62E12">
      <w:pPr>
        <w:spacing w:before="120" w:after="60" w:line="240" w:lineRule="auto"/>
        <w:ind w:hanging="2"/>
        <w:rPr>
          <w:rFonts w:ascii="Arial" w:eastAsia="Arial" w:hAnsi="Arial" w:cs="Arial"/>
          <w:color w:val="000000"/>
          <w:szCs w:val="22"/>
        </w:rPr>
      </w:pPr>
      <w:r>
        <w:rPr>
          <w:rFonts w:ascii="Arial" w:eastAsia="Arial" w:hAnsi="Arial" w:cs="Arial"/>
          <w:color w:val="000000"/>
          <w:szCs w:val="22"/>
        </w:rPr>
        <w:t>L’eventuale disavanzo d’amministrazione 202</w:t>
      </w:r>
      <w:r w:rsidR="009C38AA">
        <w:rPr>
          <w:rFonts w:ascii="Arial" w:eastAsia="Arial" w:hAnsi="Arial" w:cs="Arial"/>
          <w:color w:val="000000"/>
          <w:szCs w:val="22"/>
        </w:rPr>
        <w:t>4</w:t>
      </w:r>
      <w:r>
        <w:rPr>
          <w:rFonts w:ascii="Arial" w:eastAsia="Arial" w:hAnsi="Arial" w:cs="Arial"/>
          <w:color w:val="000000"/>
          <w:szCs w:val="22"/>
        </w:rPr>
        <w:t xml:space="preserve"> (</w:t>
      </w:r>
      <w:r>
        <w:rPr>
          <w:rFonts w:ascii="Arial" w:eastAsia="Arial" w:hAnsi="Arial" w:cs="Arial"/>
          <w:i/>
          <w:color w:val="000000"/>
          <w:szCs w:val="22"/>
        </w:rPr>
        <w:t>oppure: anno 202</w:t>
      </w:r>
      <w:r w:rsidR="009C38AA">
        <w:rPr>
          <w:rFonts w:ascii="Arial" w:eastAsia="Arial" w:hAnsi="Arial" w:cs="Arial"/>
          <w:i/>
          <w:color w:val="000000"/>
          <w:szCs w:val="22"/>
        </w:rPr>
        <w:t>5</w:t>
      </w:r>
      <w:r>
        <w:rPr>
          <w:rFonts w:ascii="Arial" w:eastAsia="Arial" w:hAnsi="Arial" w:cs="Arial"/>
          <w:i/>
          <w:color w:val="000000"/>
          <w:szCs w:val="22"/>
        </w:rPr>
        <w:t xml:space="preserve"> se deliberato il rendiconto</w:t>
      </w:r>
      <w:r>
        <w:rPr>
          <w:rFonts w:ascii="Arial" w:eastAsia="Arial" w:hAnsi="Arial" w:cs="Arial"/>
          <w:color w:val="000000"/>
          <w:szCs w:val="22"/>
        </w:rPr>
        <w:t>) è stato ripianato secondo le modalità dell’art.188 del TUEL, con atto consiliare sul quale l’Organo di revisione ha espresso parere,</w:t>
      </w:r>
      <w:r w:rsidR="00B62E12">
        <w:rPr>
          <w:rFonts w:ascii="Arial" w:eastAsia="Arial" w:hAnsi="Arial" w:cs="Arial"/>
          <w:color w:val="000000"/>
          <w:szCs w:val="22"/>
        </w:rPr>
        <w:t xml:space="preserve"> e precisamente</w:t>
      </w:r>
      <w:r>
        <w:rPr>
          <w:rFonts w:ascii="Arial" w:eastAsia="Arial" w:hAnsi="Arial" w:cs="Arial"/>
          <w:color w:val="000000"/>
          <w:szCs w:val="22"/>
        </w:rPr>
        <w:t>:</w:t>
      </w:r>
    </w:p>
    <w:p w14:paraId="433E042B" w14:textId="3FCCEFF3"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applicato all’esercizio in corso contestualmente alla delibera di approvazione del rendiconto</w:t>
      </w:r>
      <w:r>
        <w:rPr>
          <w:rFonts w:ascii="Arial" w:eastAsia="Arial" w:hAnsi="Arial" w:cs="Arial"/>
          <w:color w:val="000000"/>
        </w:rPr>
        <w:t>;</w:t>
      </w:r>
    </w:p>
    <w:p w14:paraId="6BE14EF3" w14:textId="54F020E4"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ripianato negli esercizi successivi non oltre la data della consiliatura con l’adozione di un piano di rientro che individua i mezzi per il ripiano;</w:t>
      </w:r>
    </w:p>
    <w:p w14:paraId="4F7BA184" w14:textId="19D749FC" w:rsidR="00BF1513" w:rsidRDefault="00BF1513" w:rsidP="00B62E12">
      <w:pPr>
        <w:spacing w:before="120" w:after="60" w:line="240" w:lineRule="auto"/>
        <w:ind w:left="-2"/>
        <w:rPr>
          <w:rFonts w:ascii="Arial" w:eastAsia="Arial" w:hAnsi="Arial" w:cs="Arial"/>
          <w:color w:val="000000"/>
        </w:rPr>
      </w:pPr>
      <w:r>
        <w:rPr>
          <w:rFonts w:ascii="Arial" w:eastAsia="Arial" w:hAnsi="Arial" w:cs="Arial"/>
          <w:color w:val="000000"/>
          <w:szCs w:val="22"/>
        </w:rPr>
        <w:t>Con delibera consiliare n</w:t>
      </w:r>
      <w:r w:rsidR="00160626">
        <w:rPr>
          <w:rFonts w:ascii="Arial" w:eastAsia="Arial" w:hAnsi="Arial" w:cs="Arial"/>
          <w:color w:val="000000"/>
          <w:szCs w:val="22"/>
        </w:rPr>
        <w:t>……</w:t>
      </w:r>
      <w:r>
        <w:rPr>
          <w:rFonts w:ascii="Arial" w:eastAsia="Arial" w:hAnsi="Arial" w:cs="Arial"/>
          <w:color w:val="000000"/>
          <w:szCs w:val="22"/>
        </w:rPr>
        <w:t>. del ……. per il maggior disavanzo determinato nel rispetto del Decreto del Min. Economia del 2/4/2015, è stato disposto il ripiano in ………esercizi (</w:t>
      </w:r>
      <w:r>
        <w:rPr>
          <w:rFonts w:ascii="Arial" w:eastAsia="Arial" w:hAnsi="Arial" w:cs="Arial"/>
          <w:i/>
          <w:color w:val="00B0F0"/>
          <w:szCs w:val="22"/>
        </w:rPr>
        <w:t>non più di trenta anni</w:t>
      </w:r>
      <w:r>
        <w:rPr>
          <w:rFonts w:ascii="Arial" w:eastAsia="Arial" w:hAnsi="Arial" w:cs="Arial"/>
          <w:color w:val="365F91"/>
          <w:szCs w:val="22"/>
        </w:rPr>
        <w:t xml:space="preserve">) </w:t>
      </w:r>
      <w:r>
        <w:rPr>
          <w:rFonts w:ascii="Arial" w:eastAsia="Arial" w:hAnsi="Arial" w:cs="Arial"/>
          <w:color w:val="000000"/>
          <w:szCs w:val="22"/>
        </w:rPr>
        <w:t>a quote annuali costanti di euro……………</w:t>
      </w:r>
      <w:r w:rsidR="00160626">
        <w:rPr>
          <w:rFonts w:ascii="Arial" w:eastAsia="Arial" w:hAnsi="Arial" w:cs="Arial"/>
          <w:color w:val="000000"/>
          <w:szCs w:val="22"/>
        </w:rPr>
        <w:t>……</w:t>
      </w:r>
      <w:r>
        <w:rPr>
          <w:rFonts w:ascii="Arial" w:eastAsia="Arial" w:hAnsi="Arial" w:cs="Arial"/>
          <w:color w:val="000000"/>
          <w:szCs w:val="22"/>
        </w:rPr>
        <w:t>.</w:t>
      </w:r>
    </w:p>
    <w:p w14:paraId="66E69110" w14:textId="77777777" w:rsidR="00BF1513" w:rsidRDefault="00BF1513" w:rsidP="00B62E12">
      <w:pPr>
        <w:spacing w:before="120" w:after="60" w:line="240" w:lineRule="auto"/>
        <w:ind w:left="-2"/>
        <w:rPr>
          <w:rFonts w:ascii="Arial" w:eastAsia="Arial" w:hAnsi="Arial" w:cs="Arial"/>
          <w:color w:val="000000"/>
        </w:rPr>
      </w:pPr>
    </w:p>
    <w:p w14:paraId="2429671B" w14:textId="77777777" w:rsidR="00BF1513" w:rsidRDefault="00BF1513" w:rsidP="00B62E12">
      <w:pP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i/>
          <w:color w:val="000000"/>
          <w:szCs w:val="22"/>
        </w:rPr>
        <w:t>nel caso di piano di rientro</w:t>
      </w:r>
      <w:r>
        <w:rPr>
          <w:rFonts w:ascii="Arial" w:eastAsia="Arial" w:hAnsi="Arial" w:cs="Arial"/>
          <w:color w:val="000000"/>
          <w:szCs w:val="22"/>
        </w:rPr>
        <w:t xml:space="preserve">) </w:t>
      </w:r>
    </w:p>
    <w:p w14:paraId="63653659" w14:textId="2F869AFC"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il rispetto del piano di rientro formulando sulla relazione semestrale del Sindaco</w:t>
      </w:r>
      <w:r w:rsidR="00D96A8E" w:rsidRPr="004B4CFE">
        <w:rPr>
          <w:rFonts w:ascii="Arial" w:eastAsia="Arial" w:hAnsi="Arial" w:cs="Arial"/>
          <w:color w:val="auto"/>
          <w:szCs w:val="22"/>
        </w:rPr>
        <w:t xml:space="preserve"> (art. 188 del T</w:t>
      </w:r>
      <w:r w:rsidR="00E76B91">
        <w:rPr>
          <w:rFonts w:ascii="Arial" w:eastAsia="Arial" w:hAnsi="Arial" w:cs="Arial"/>
          <w:color w:val="auto"/>
          <w:szCs w:val="22"/>
        </w:rPr>
        <w:t>UEL</w:t>
      </w:r>
      <w:r w:rsidR="00D96A8E" w:rsidRPr="004B4CFE">
        <w:rPr>
          <w:rFonts w:ascii="Arial" w:eastAsia="Arial" w:hAnsi="Arial" w:cs="Arial"/>
          <w:color w:val="auto"/>
          <w:szCs w:val="22"/>
        </w:rPr>
        <w:t xml:space="preserve">) </w:t>
      </w:r>
      <w:r w:rsidRPr="004B4CFE">
        <w:rPr>
          <w:rFonts w:ascii="Arial" w:eastAsia="Arial" w:hAnsi="Arial" w:cs="Arial"/>
          <w:color w:val="auto"/>
          <w:szCs w:val="22"/>
        </w:rPr>
        <w:t>parere favorevole con verbale n…… del</w:t>
      </w:r>
      <w:r w:rsidR="00160626" w:rsidRPr="004B4CFE">
        <w:rPr>
          <w:rFonts w:ascii="Arial" w:eastAsia="Arial" w:hAnsi="Arial" w:cs="Arial"/>
          <w:color w:val="auto"/>
          <w:szCs w:val="22"/>
        </w:rPr>
        <w:t xml:space="preserve"> …</w:t>
      </w:r>
      <w:r w:rsidRPr="004B4CFE">
        <w:rPr>
          <w:rFonts w:ascii="Arial" w:eastAsia="Arial" w:hAnsi="Arial" w:cs="Arial"/>
          <w:color w:val="auto"/>
          <w:szCs w:val="22"/>
        </w:rPr>
        <w:t>.</w:t>
      </w:r>
    </w:p>
    <w:p w14:paraId="3CE2CF5F" w14:textId="77777777"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i/>
          <w:color w:val="auto"/>
          <w:szCs w:val="22"/>
        </w:rPr>
        <w:t>(oppure)</w:t>
      </w:r>
    </w:p>
    <w:p w14:paraId="6B151B2D" w14:textId="16729789" w:rsidR="00BF1513" w:rsidRPr="004B4CFE" w:rsidRDefault="00BF1513" w:rsidP="00B62E12">
      <w:pPr>
        <w:spacing w:before="120" w:after="60" w:line="240" w:lineRule="auto"/>
        <w:ind w:left="-2"/>
        <w:rPr>
          <w:rFonts w:ascii="Arial" w:eastAsia="Arial" w:hAnsi="Arial" w:cs="Arial"/>
          <w:color w:val="auto"/>
        </w:rPr>
      </w:pPr>
      <w:r w:rsidRPr="004B4CFE">
        <w:rPr>
          <w:rFonts w:ascii="Arial" w:eastAsia="Arial" w:hAnsi="Arial" w:cs="Arial"/>
          <w:color w:val="auto"/>
          <w:szCs w:val="22"/>
        </w:rPr>
        <w:t>L’Organo di revisione ha rilevato, come indicato nei verbali n……. del</w:t>
      </w:r>
      <w:r w:rsidR="00160626" w:rsidRPr="004B4CFE">
        <w:rPr>
          <w:rFonts w:ascii="Arial" w:eastAsia="Arial" w:hAnsi="Arial" w:cs="Arial"/>
          <w:color w:val="auto"/>
          <w:szCs w:val="22"/>
        </w:rPr>
        <w:t>……</w:t>
      </w:r>
      <w:r w:rsidRPr="004B4CFE">
        <w:rPr>
          <w:rFonts w:ascii="Arial" w:eastAsia="Arial" w:hAnsi="Arial" w:cs="Arial"/>
          <w:color w:val="auto"/>
          <w:szCs w:val="22"/>
        </w:rPr>
        <w:t>, il mancato rispetto del piano di rientro e a tal fine ritiene necessario che nelle previsioni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sia data copertura al mancato rientro.</w:t>
      </w:r>
    </w:p>
    <w:p w14:paraId="48534D27" w14:textId="77777777" w:rsidR="00BF1513" w:rsidRPr="004B4CFE" w:rsidRDefault="00BF1513" w:rsidP="00B62E12">
      <w:pPr>
        <w:spacing w:before="120" w:after="60" w:line="240" w:lineRule="auto"/>
        <w:ind w:left="-2"/>
        <w:rPr>
          <w:rFonts w:ascii="Arial" w:eastAsia="Arial" w:hAnsi="Arial" w:cs="Arial"/>
          <w:color w:val="auto"/>
        </w:rPr>
      </w:pPr>
    </w:p>
    <w:p w14:paraId="77B4F2D3" w14:textId="5E1EEF8D"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prende atto del piano di rientro, delle diverse tipologie di disavanzo, illustrato nella nota integrativa come segue:</w:t>
      </w:r>
    </w:p>
    <w:p w14:paraId="73D486D4"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3B456EB9" w14:textId="77777777" w:rsidR="00B25F4C" w:rsidRPr="004B4CFE" w:rsidRDefault="00B25F4C" w:rsidP="00B25F4C">
      <w:pPr>
        <w:ind w:hanging="2"/>
        <w:jc w:val="center"/>
        <w:rPr>
          <w:b/>
          <w:bCs/>
          <w:color w:val="auto"/>
          <w:sz w:val="24"/>
          <w:szCs w:val="24"/>
        </w:rPr>
      </w:pPr>
      <w:r w:rsidRPr="004B4CFE">
        <w:rPr>
          <w:b/>
          <w:bCs/>
          <w:color w:val="auto"/>
          <w:sz w:val="24"/>
          <w:szCs w:val="24"/>
        </w:rPr>
        <w:t>TABELLA 3</w:t>
      </w:r>
    </w:p>
    <w:p w14:paraId="71B584D9"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0017D993" w14:textId="24866686" w:rsidR="00B25F4C" w:rsidRPr="00085541" w:rsidRDefault="00085541" w:rsidP="00B25F4C">
      <w:pPr>
        <w:pBdr>
          <w:top w:val="nil"/>
          <w:left w:val="nil"/>
          <w:bottom w:val="nil"/>
          <w:right w:val="nil"/>
          <w:between w:val="nil"/>
        </w:pBdr>
        <w:spacing w:line="240" w:lineRule="auto"/>
        <w:ind w:hanging="2"/>
        <w:rPr>
          <w:rFonts w:ascii="Arial" w:eastAsia="Arial" w:hAnsi="Arial" w:cs="Arial"/>
          <w:i/>
          <w:iCs/>
          <w:color w:val="00B0F0"/>
          <w:szCs w:val="22"/>
        </w:rPr>
      </w:pPr>
      <w:r>
        <w:rPr>
          <w:rFonts w:ascii="Arial" w:eastAsia="Arial" w:hAnsi="Arial" w:cs="Arial"/>
          <w:i/>
          <w:iCs/>
          <w:color w:val="00B0F0"/>
          <w:szCs w:val="22"/>
        </w:rPr>
        <w:t>(in</w:t>
      </w:r>
      <w:r w:rsidR="00B25F4C" w:rsidRPr="00085541">
        <w:rPr>
          <w:rFonts w:ascii="Arial" w:eastAsia="Arial" w:hAnsi="Arial" w:cs="Arial"/>
          <w:i/>
          <w:iCs/>
          <w:color w:val="00B0F0"/>
          <w:szCs w:val="22"/>
        </w:rPr>
        <w:t xml:space="preserve"> caso di risposta negativa fornire chiarimenti</w:t>
      </w:r>
      <w:r>
        <w:rPr>
          <w:rFonts w:ascii="Arial" w:eastAsia="Arial" w:hAnsi="Arial" w:cs="Arial"/>
          <w:i/>
          <w:iCs/>
          <w:color w:val="00B0F0"/>
          <w:szCs w:val="22"/>
        </w:rPr>
        <w:t>)</w:t>
      </w:r>
    </w:p>
    <w:p w14:paraId="2E027D39" w14:textId="43A482A3"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lastRenderedPageBreak/>
        <w:t xml:space="preserve">L’Organo di revisione, nel caso di maggior recupero di disavanzo, ha verificato </w:t>
      </w:r>
      <w:r w:rsidR="00E7181A" w:rsidRPr="004B4CFE">
        <w:rPr>
          <w:rFonts w:ascii="Arial" w:eastAsia="Arial" w:hAnsi="Arial" w:cs="Arial"/>
          <w:color w:val="auto"/>
          <w:szCs w:val="22"/>
        </w:rPr>
        <w:t xml:space="preserve">che l’Ente </w:t>
      </w:r>
      <w:r w:rsidR="00E7181A" w:rsidRPr="004B4CFE">
        <w:rPr>
          <w:rFonts w:ascii="Arial" w:eastAsia="Arial" w:hAnsi="Arial" w:cs="Arial"/>
          <w:b/>
          <w:bCs/>
          <w:color w:val="auto"/>
          <w:szCs w:val="22"/>
        </w:rPr>
        <w:t>ha rispettato/non ha rispettato</w:t>
      </w:r>
      <w:r w:rsidR="00E7181A" w:rsidRPr="004B4CFE">
        <w:rPr>
          <w:rFonts w:ascii="Arial" w:eastAsia="Arial" w:hAnsi="Arial" w:cs="Arial"/>
          <w:color w:val="auto"/>
          <w:szCs w:val="22"/>
        </w:rPr>
        <w:t xml:space="preserve"> </w:t>
      </w:r>
      <w:r w:rsidRPr="004B4CFE">
        <w:rPr>
          <w:rFonts w:ascii="Arial" w:eastAsia="Arial" w:hAnsi="Arial" w:cs="Arial"/>
          <w:color w:val="auto"/>
          <w:szCs w:val="22"/>
        </w:rPr>
        <w:t>le condizioni di cui all’art. 111 comma 4</w:t>
      </w:r>
      <w:r w:rsidR="00E76B91">
        <w:rPr>
          <w:rFonts w:ascii="Arial" w:eastAsia="Arial" w:hAnsi="Arial" w:cs="Arial"/>
          <w:color w:val="auto"/>
          <w:szCs w:val="22"/>
        </w:rPr>
        <w:t>-</w:t>
      </w:r>
      <w:r w:rsidRPr="00E76B91">
        <w:rPr>
          <w:rFonts w:ascii="Arial" w:eastAsia="Arial" w:hAnsi="Arial" w:cs="Arial"/>
          <w:i/>
          <w:iCs/>
          <w:color w:val="auto"/>
          <w:szCs w:val="22"/>
        </w:rPr>
        <w:t>bis</w:t>
      </w:r>
      <w:r w:rsidRPr="004B4CFE">
        <w:rPr>
          <w:rFonts w:ascii="Arial" w:eastAsia="Arial" w:hAnsi="Arial" w:cs="Arial"/>
          <w:color w:val="auto"/>
          <w:szCs w:val="22"/>
        </w:rPr>
        <w:t xml:space="preserve"> del D</w:t>
      </w:r>
      <w:r w:rsidR="00E76B91">
        <w:rPr>
          <w:rFonts w:ascii="Arial" w:eastAsia="Arial" w:hAnsi="Arial" w:cs="Arial"/>
          <w:color w:val="auto"/>
          <w:szCs w:val="22"/>
        </w:rPr>
        <w:t>.l.</w:t>
      </w:r>
      <w:r w:rsidRPr="004B4CFE">
        <w:rPr>
          <w:rFonts w:ascii="Arial" w:eastAsia="Arial" w:hAnsi="Arial" w:cs="Arial"/>
          <w:color w:val="auto"/>
          <w:szCs w:val="22"/>
        </w:rPr>
        <w:t xml:space="preserve"> 18/2020 in base a quanto precisato dalla FAQ 40 di Arconet. </w:t>
      </w:r>
    </w:p>
    <w:p w14:paraId="0A562C9A" w14:textId="7F1D7587" w:rsidR="008447CF" w:rsidRPr="004B4CFE" w:rsidRDefault="00B25F4C" w:rsidP="00145E1F">
      <w:pPr>
        <w:widowControl w:val="0"/>
        <w:spacing w:line="240" w:lineRule="auto"/>
        <w:rPr>
          <w:rFonts w:ascii="Arial" w:eastAsia="Arial" w:hAnsi="Arial" w:cs="Arial"/>
          <w:color w:val="auto"/>
          <w:szCs w:val="22"/>
        </w:rPr>
      </w:pPr>
      <w:r w:rsidRPr="004B4CFE">
        <w:rPr>
          <w:rFonts w:ascii="Arial" w:eastAsia="Arial" w:hAnsi="Arial" w:cs="Arial"/>
          <w:color w:val="auto"/>
          <w:szCs w:val="22"/>
        </w:rPr>
        <w:t>L’Organo di revisione ha ver</w:t>
      </w:r>
      <w:r w:rsidR="00E1669A" w:rsidRPr="004B4CFE">
        <w:rPr>
          <w:rFonts w:ascii="Arial" w:eastAsia="Arial" w:hAnsi="Arial" w:cs="Arial"/>
          <w:color w:val="auto"/>
          <w:szCs w:val="22"/>
        </w:rPr>
        <w:t>i</w:t>
      </w:r>
      <w:r w:rsidRPr="004B4CFE">
        <w:rPr>
          <w:rFonts w:ascii="Arial" w:eastAsia="Arial" w:hAnsi="Arial" w:cs="Arial"/>
          <w:color w:val="auto"/>
          <w:szCs w:val="22"/>
        </w:rPr>
        <w:t>ficato che l</w:t>
      </w:r>
      <w:r w:rsidR="009751A3" w:rsidRPr="004B4CFE">
        <w:rPr>
          <w:rFonts w:ascii="Arial" w:eastAsia="Arial" w:hAnsi="Arial" w:cs="Arial"/>
          <w:color w:val="auto"/>
          <w:szCs w:val="22"/>
        </w:rPr>
        <w:t>’Ente, se in disavanzo nell’esercizio 202</w:t>
      </w:r>
      <w:r w:rsidR="009C38AA">
        <w:rPr>
          <w:rFonts w:ascii="Arial" w:eastAsia="Arial" w:hAnsi="Arial" w:cs="Arial"/>
          <w:color w:val="auto"/>
          <w:szCs w:val="22"/>
        </w:rPr>
        <w:t>4</w:t>
      </w:r>
      <w:r w:rsidR="009751A3" w:rsidRPr="004B4CFE">
        <w:rPr>
          <w:rFonts w:ascii="Arial" w:eastAsia="Arial" w:hAnsi="Arial" w:cs="Arial"/>
          <w:color w:val="auto"/>
          <w:szCs w:val="22"/>
        </w:rPr>
        <w:t xml:space="preserve">, </w:t>
      </w:r>
      <w:r w:rsidR="009751A3" w:rsidRPr="004B4CFE">
        <w:rPr>
          <w:rFonts w:ascii="Arial" w:eastAsia="Arial" w:hAnsi="Arial" w:cs="Arial"/>
          <w:b/>
          <w:color w:val="auto"/>
          <w:szCs w:val="22"/>
        </w:rPr>
        <w:t>ha rispettato</w:t>
      </w:r>
      <w:r w:rsidR="009751A3" w:rsidRPr="004B4CFE">
        <w:rPr>
          <w:rFonts w:ascii="Arial" w:eastAsia="Arial" w:hAnsi="Arial" w:cs="Arial"/>
          <w:color w:val="auto"/>
          <w:szCs w:val="22"/>
        </w:rPr>
        <w:t>/</w:t>
      </w:r>
      <w:r w:rsidR="009751A3" w:rsidRPr="004B4CFE">
        <w:rPr>
          <w:rFonts w:ascii="Arial" w:eastAsia="Arial" w:hAnsi="Arial" w:cs="Arial"/>
          <w:b/>
          <w:color w:val="auto"/>
          <w:szCs w:val="22"/>
        </w:rPr>
        <w:t>non ha rispettato</w:t>
      </w:r>
      <w:r w:rsidR="008447CF" w:rsidRPr="004B4CFE">
        <w:rPr>
          <w:rFonts w:ascii="Arial" w:eastAsia="Arial" w:hAnsi="Arial" w:cs="Arial"/>
          <w:color w:val="auto"/>
          <w:szCs w:val="22"/>
        </w:rPr>
        <w:t>, salvo le deroghe previste dall’art.52,co.1-</w:t>
      </w:r>
      <w:r w:rsidR="008447CF" w:rsidRPr="00E76B91">
        <w:rPr>
          <w:rFonts w:ascii="Arial" w:eastAsia="Arial" w:hAnsi="Arial" w:cs="Arial"/>
          <w:i/>
          <w:iCs/>
          <w:color w:val="auto"/>
          <w:szCs w:val="22"/>
        </w:rPr>
        <w:t>ter</w:t>
      </w:r>
      <w:r w:rsidR="008447CF" w:rsidRPr="004B4CFE">
        <w:rPr>
          <w:rFonts w:ascii="Arial" w:eastAsia="Arial" w:hAnsi="Arial" w:cs="Arial"/>
          <w:color w:val="auto"/>
          <w:szCs w:val="22"/>
        </w:rPr>
        <w:t xml:space="preserve">, del </w:t>
      </w:r>
      <w:r w:rsidR="00160626">
        <w:rPr>
          <w:rFonts w:ascii="Arial" w:eastAsia="Arial" w:hAnsi="Arial" w:cs="Arial"/>
          <w:color w:val="auto"/>
          <w:szCs w:val="22"/>
        </w:rPr>
        <w:t>D</w:t>
      </w:r>
      <w:r w:rsidR="008447CF" w:rsidRPr="004B4CFE">
        <w:rPr>
          <w:rFonts w:ascii="Arial" w:eastAsia="Arial" w:hAnsi="Arial" w:cs="Arial"/>
          <w:color w:val="auto"/>
          <w:szCs w:val="22"/>
        </w:rPr>
        <w:t xml:space="preserve">.l. 25 maggio 2021, n.73, convertito dalla legge 23 luglio 2021, n.106 (FAL) e dall’art.15,co.3, </w:t>
      </w:r>
      <w:r w:rsidR="00160626">
        <w:rPr>
          <w:rFonts w:ascii="Arial" w:eastAsia="Arial" w:hAnsi="Arial" w:cs="Arial"/>
          <w:color w:val="auto"/>
          <w:szCs w:val="22"/>
        </w:rPr>
        <w:t>D</w:t>
      </w:r>
      <w:r w:rsidR="008447CF" w:rsidRPr="004B4CFE">
        <w:rPr>
          <w:rFonts w:ascii="Arial" w:eastAsia="Arial" w:hAnsi="Arial" w:cs="Arial"/>
          <w:color w:val="auto"/>
          <w:szCs w:val="22"/>
        </w:rPr>
        <w:t>.l. 31 maggio 2021, n.77, convertito dalla legge 29 luglio 2021, n.108 (PNRR e PNC), i criteri enunciati nell’art.1, cc.897 e 898 della l.n.145/2018 (legge di bilancio 2019), per l’applicazione dell’avanzo vincolato e dell’avanzo accantonato.</w:t>
      </w:r>
    </w:p>
    <w:p w14:paraId="2BBAFE1A" w14:textId="18A8C221" w:rsidR="00E1669A" w:rsidRPr="004B4CFE" w:rsidRDefault="00E1669A" w:rsidP="00E7181A">
      <w:pPr>
        <w:widowControl w:val="0"/>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iCs/>
          <w:color w:val="auto"/>
          <w:szCs w:val="22"/>
        </w:rPr>
        <w:t>eventuale</w:t>
      </w:r>
      <w:r w:rsidR="00E7181A" w:rsidRPr="004B4CFE">
        <w:rPr>
          <w:rFonts w:ascii="Arial" w:eastAsia="Arial" w:hAnsi="Arial" w:cs="Arial"/>
          <w:i/>
          <w:iCs/>
          <w:color w:val="auto"/>
          <w:szCs w:val="22"/>
        </w:rPr>
        <w:t>)</w:t>
      </w:r>
    </w:p>
    <w:p w14:paraId="19290A06" w14:textId="31B20B22" w:rsidR="009751A3" w:rsidRPr="004B4CFE" w:rsidRDefault="009751A3" w:rsidP="009751A3">
      <w:pPr>
        <w:widowControl w:val="0"/>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00F25E44" w:rsidRPr="004B4CFE">
        <w:rPr>
          <w:rFonts w:ascii="Arial" w:eastAsia="Arial" w:hAnsi="Arial" w:cs="Arial"/>
          <w:b/>
          <w:bCs/>
          <w:color w:val="auto"/>
          <w:szCs w:val="22"/>
        </w:rPr>
        <w:t>ha</w:t>
      </w:r>
      <w:r w:rsidRPr="004B4CFE">
        <w:rPr>
          <w:rFonts w:ascii="Arial" w:eastAsia="Arial" w:hAnsi="Arial" w:cs="Arial"/>
          <w:b/>
          <w:bCs/>
          <w:color w:val="auto"/>
          <w:szCs w:val="22"/>
        </w:rPr>
        <w:t xml:space="preserve"> descritto</w:t>
      </w:r>
      <w:r w:rsidR="008447CF" w:rsidRPr="004B4CFE">
        <w:rPr>
          <w:rFonts w:ascii="Arial" w:eastAsia="Arial" w:hAnsi="Arial" w:cs="Arial"/>
          <w:b/>
          <w:bCs/>
          <w:color w:val="auto"/>
          <w:szCs w:val="22"/>
        </w:rPr>
        <w:t xml:space="preserve">/non </w:t>
      </w:r>
      <w:r w:rsidR="00F25E44" w:rsidRPr="004B4CFE">
        <w:rPr>
          <w:rFonts w:ascii="Arial" w:eastAsia="Arial" w:hAnsi="Arial" w:cs="Arial"/>
          <w:b/>
          <w:bCs/>
          <w:color w:val="auto"/>
          <w:szCs w:val="22"/>
        </w:rPr>
        <w:t>ha</w:t>
      </w:r>
      <w:r w:rsidR="008447CF" w:rsidRPr="004B4CFE">
        <w:rPr>
          <w:rFonts w:ascii="Arial" w:eastAsia="Arial" w:hAnsi="Arial" w:cs="Arial"/>
          <w:b/>
          <w:bCs/>
          <w:color w:val="auto"/>
          <w:szCs w:val="22"/>
        </w:rPr>
        <w:t xml:space="preserve"> descritto</w:t>
      </w:r>
      <w:r w:rsidRPr="004B4CFE">
        <w:rPr>
          <w:rFonts w:ascii="Arial" w:eastAsia="Arial" w:hAnsi="Arial" w:cs="Arial"/>
          <w:color w:val="auto"/>
          <w:szCs w:val="22"/>
        </w:rPr>
        <w:t xml:space="preserve"> nella nota integrativa le cause che hanno determinato un disavanzo presunto in sede di approvazione del bilancio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indicando, altresì, gli interventi che si intendono assumere al riguardo sulla base di quanto previsto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580948">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w:t>
      </w:r>
      <w:r w:rsidRPr="004B4CFE">
        <w:rPr>
          <w:rFonts w:ascii="Arial" w:eastAsia="Arial" w:hAnsi="Arial" w:cs="Arial"/>
          <w:color w:val="auto"/>
          <w:szCs w:val="22"/>
        </w:rPr>
        <w:t>n.118/2011 e s.m.i. – D.M. 7 settembre 2020).</w:t>
      </w:r>
    </w:p>
    <w:p w14:paraId="56723656" w14:textId="77777777"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p>
    <w:p w14:paraId="769B6262" w14:textId="2B709474" w:rsidR="009751A3" w:rsidRPr="004B4CFE" w:rsidRDefault="009751A3" w:rsidP="009751A3">
      <w:pPr>
        <w:ind w:hanging="2"/>
        <w:rPr>
          <w:rFonts w:ascii="Arial" w:eastAsia="Arial" w:hAnsi="Arial" w:cs="Arial"/>
          <w:color w:val="auto"/>
          <w:szCs w:val="22"/>
        </w:rPr>
      </w:pPr>
      <w:r w:rsidRPr="004B4CFE">
        <w:rPr>
          <w:rFonts w:ascii="Arial" w:eastAsia="Arial" w:hAnsi="Arial" w:cs="Arial"/>
          <w:color w:val="auto"/>
          <w:szCs w:val="22"/>
        </w:rPr>
        <w:t>L’Organo di revisione ha verificato che l’Ente, se già in disavanzo al 31 dicembre 202</w:t>
      </w:r>
      <w:r w:rsidR="009C38AA">
        <w:rPr>
          <w:rFonts w:ascii="Arial" w:eastAsia="Arial" w:hAnsi="Arial" w:cs="Arial"/>
          <w:color w:val="auto"/>
          <w:szCs w:val="22"/>
        </w:rPr>
        <w:t>4</w:t>
      </w:r>
      <w:r w:rsidRPr="004B4CFE">
        <w:rPr>
          <w:rFonts w:ascii="Arial" w:eastAsia="Arial" w:hAnsi="Arial" w:cs="Arial"/>
          <w:color w:val="auto"/>
          <w:szCs w:val="22"/>
        </w:rPr>
        <w:t>,</w:t>
      </w:r>
      <w:r w:rsidR="00E76B91">
        <w:rPr>
          <w:rFonts w:ascii="Arial" w:eastAsia="Arial" w:hAnsi="Arial" w:cs="Arial"/>
          <w:color w:val="auto"/>
          <w:szCs w:val="22"/>
        </w:rPr>
        <w:t xml:space="preserve"> </w:t>
      </w:r>
      <w:r w:rsidRPr="004B4CFE">
        <w:rPr>
          <w:rFonts w:ascii="Arial" w:eastAsia="Arial" w:hAnsi="Arial" w:cs="Arial"/>
          <w:color w:val="auto"/>
          <w:szCs w:val="22"/>
        </w:rPr>
        <w:t>ha illustrato, nella nota integrativa al bilancio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le attività svolte per il ripiano di tale disavanzo e i risultati raggiunti al termine dell’esercizio 202</w:t>
      </w:r>
      <w:r w:rsidR="009C38AA">
        <w:rPr>
          <w:rFonts w:ascii="Arial" w:eastAsia="Arial" w:hAnsi="Arial" w:cs="Arial"/>
          <w:color w:val="auto"/>
          <w:szCs w:val="22"/>
        </w:rPr>
        <w:t>5</w:t>
      </w:r>
      <w:r w:rsidRPr="004B4CFE">
        <w:rPr>
          <w:rFonts w:ascii="Arial" w:eastAsia="Arial" w:hAnsi="Arial" w:cs="Arial"/>
          <w:color w:val="auto"/>
          <w:szCs w:val="22"/>
        </w:rPr>
        <w:t xml:space="preserve"> con le modalità previste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E76B91">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n.</w:t>
      </w:r>
      <w:r w:rsidRPr="004B4CFE">
        <w:rPr>
          <w:rFonts w:ascii="Arial" w:eastAsia="Arial" w:hAnsi="Arial" w:cs="Arial"/>
          <w:color w:val="auto"/>
          <w:szCs w:val="22"/>
        </w:rPr>
        <w:t>118/2011e</w:t>
      </w:r>
      <w:r w:rsidR="00E76B91">
        <w:rPr>
          <w:rFonts w:ascii="Arial" w:eastAsia="Arial" w:hAnsi="Arial" w:cs="Arial"/>
          <w:color w:val="auto"/>
          <w:szCs w:val="22"/>
        </w:rPr>
        <w:t xml:space="preserve"> </w:t>
      </w:r>
      <w:r w:rsidRPr="004B4CFE">
        <w:rPr>
          <w:rFonts w:ascii="Arial" w:eastAsia="Arial" w:hAnsi="Arial" w:cs="Arial"/>
          <w:color w:val="auto"/>
          <w:szCs w:val="22"/>
        </w:rPr>
        <w:t>s.m.i.–D.M. 7 settembre 2020).</w:t>
      </w:r>
    </w:p>
    <w:p w14:paraId="421A49BB" w14:textId="7C44873C" w:rsidR="009751A3"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sidR="00390923">
        <w:rPr>
          <w:rFonts w:ascii="Arial" w:eastAsia="Arial" w:hAnsi="Arial" w:cs="Arial"/>
          <w:i/>
          <w:iCs/>
          <w:color w:val="00B0F0"/>
          <w:szCs w:val="22"/>
        </w:rPr>
        <w:t>……</w:t>
      </w:r>
    </w:p>
    <w:p w14:paraId="4F5C89F9" w14:textId="0C51E7F6" w:rsidR="0059751B" w:rsidRDefault="000704E5" w:rsidP="000704E5">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Pr>
          <w:rFonts w:ascii="Arial" w:eastAsia="Arial" w:hAnsi="Arial" w:cs="Arial"/>
          <w:i/>
          <w:iCs/>
          <w:color w:val="auto"/>
          <w:szCs w:val="22"/>
        </w:rPr>
        <w:t>L’art.1 comma 664 della Legge di bilancio 2026</w:t>
      </w:r>
      <w:r w:rsidR="00AD74C6" w:rsidRPr="00AD74C6">
        <w:rPr>
          <w:rFonts w:ascii="Arial" w:eastAsia="Arial" w:hAnsi="Arial" w:cs="Arial"/>
          <w:i/>
          <w:iCs/>
          <w:color w:val="auto"/>
          <w:szCs w:val="22"/>
        </w:rPr>
        <w:t xml:space="preserve"> inserisce</w:t>
      </w:r>
      <w:r w:rsidR="00AD74C6" w:rsidRPr="00AD74C6">
        <w:rPr>
          <w:color w:val="auto"/>
        </w:rPr>
        <w:t xml:space="preserve"> </w:t>
      </w:r>
      <w:r w:rsidR="00AD74C6" w:rsidRPr="00AD74C6">
        <w:rPr>
          <w:rFonts w:ascii="Arial" w:eastAsia="Arial" w:hAnsi="Arial" w:cs="Arial"/>
          <w:i/>
          <w:iCs/>
          <w:color w:val="auto"/>
          <w:szCs w:val="22"/>
        </w:rPr>
        <w:t xml:space="preserve">all’articolo 1 della legge 30 dicembre 2018, n. 145, dopo il comma 898, il seguente: «898-bis. </w:t>
      </w:r>
      <w:r w:rsidRPr="000704E5">
        <w:rPr>
          <w:rFonts w:ascii="Arial" w:eastAsia="Arial" w:hAnsi="Arial" w:cs="Arial"/>
          <w:i/>
          <w:iCs/>
          <w:color w:val="auto"/>
          <w:szCs w:val="22"/>
        </w:rPr>
        <w:t>Gli enti locali, che hanno recuperato la quota di</w:t>
      </w:r>
      <w:r>
        <w:rPr>
          <w:rFonts w:ascii="Arial" w:eastAsia="Arial" w:hAnsi="Arial" w:cs="Arial"/>
          <w:i/>
          <w:iCs/>
          <w:color w:val="auto"/>
          <w:szCs w:val="22"/>
        </w:rPr>
        <w:t xml:space="preserve"> </w:t>
      </w:r>
      <w:r w:rsidRPr="000704E5">
        <w:rPr>
          <w:rFonts w:ascii="Arial" w:eastAsia="Arial" w:hAnsi="Arial" w:cs="Arial"/>
          <w:i/>
          <w:iCs/>
          <w:color w:val="auto"/>
          <w:szCs w:val="22"/>
        </w:rPr>
        <w:t>ripiano del disavanzo iscritta nelle previsioni definitive del</w:t>
      </w:r>
      <w:r>
        <w:rPr>
          <w:rFonts w:ascii="Arial" w:eastAsia="Arial" w:hAnsi="Arial" w:cs="Arial"/>
          <w:i/>
          <w:iCs/>
          <w:color w:val="auto"/>
          <w:szCs w:val="22"/>
        </w:rPr>
        <w:t xml:space="preserve"> </w:t>
      </w:r>
      <w:r w:rsidRPr="000704E5">
        <w:rPr>
          <w:rFonts w:ascii="Arial" w:eastAsia="Arial" w:hAnsi="Arial" w:cs="Arial"/>
          <w:i/>
          <w:iCs/>
          <w:color w:val="auto"/>
          <w:szCs w:val="22"/>
        </w:rPr>
        <w:t>bilancio di previsione, possono applicare all'esercizio in corso di</w:t>
      </w:r>
      <w:r>
        <w:rPr>
          <w:rFonts w:ascii="Arial" w:eastAsia="Arial" w:hAnsi="Arial" w:cs="Arial"/>
          <w:i/>
          <w:iCs/>
          <w:color w:val="auto"/>
          <w:szCs w:val="22"/>
        </w:rPr>
        <w:t xml:space="preserve"> </w:t>
      </w:r>
      <w:r w:rsidRPr="000704E5">
        <w:rPr>
          <w:rFonts w:ascii="Arial" w:eastAsia="Arial" w:hAnsi="Arial" w:cs="Arial"/>
          <w:i/>
          <w:iCs/>
          <w:color w:val="auto"/>
          <w:szCs w:val="22"/>
        </w:rPr>
        <w:t>gestione, dopo l'approvazione del rendiconto, l'avanzo vincolato di</w:t>
      </w:r>
      <w:r>
        <w:rPr>
          <w:rFonts w:ascii="Arial" w:eastAsia="Arial" w:hAnsi="Arial" w:cs="Arial"/>
          <w:i/>
          <w:iCs/>
          <w:color w:val="auto"/>
          <w:szCs w:val="22"/>
        </w:rPr>
        <w:t xml:space="preserve"> </w:t>
      </w:r>
      <w:r w:rsidRPr="000704E5">
        <w:rPr>
          <w:rFonts w:ascii="Arial" w:eastAsia="Arial" w:hAnsi="Arial" w:cs="Arial"/>
          <w:i/>
          <w:iCs/>
          <w:color w:val="auto"/>
          <w:szCs w:val="22"/>
        </w:rPr>
        <w:t>parte corrente formatosi nell'esercizio precedente, in deroga ai</w:t>
      </w:r>
      <w:r>
        <w:rPr>
          <w:rFonts w:ascii="Arial" w:eastAsia="Arial" w:hAnsi="Arial" w:cs="Arial"/>
          <w:i/>
          <w:iCs/>
          <w:color w:val="auto"/>
          <w:szCs w:val="22"/>
        </w:rPr>
        <w:t xml:space="preserve"> </w:t>
      </w:r>
      <w:r w:rsidRPr="000704E5">
        <w:rPr>
          <w:rFonts w:ascii="Arial" w:eastAsia="Arial" w:hAnsi="Arial" w:cs="Arial"/>
          <w:i/>
          <w:iCs/>
          <w:color w:val="auto"/>
          <w:szCs w:val="22"/>
        </w:rPr>
        <w:t>limiti previsti dai commi 897 e 898. Il parere dei revisori dei conti</w:t>
      </w:r>
      <w:r>
        <w:rPr>
          <w:rFonts w:ascii="Arial" w:eastAsia="Arial" w:hAnsi="Arial" w:cs="Arial"/>
          <w:i/>
          <w:iCs/>
          <w:color w:val="auto"/>
          <w:szCs w:val="22"/>
        </w:rPr>
        <w:t xml:space="preserve"> </w:t>
      </w:r>
      <w:r w:rsidRPr="000704E5">
        <w:rPr>
          <w:rFonts w:ascii="Arial" w:eastAsia="Arial" w:hAnsi="Arial" w:cs="Arial"/>
          <w:i/>
          <w:iCs/>
          <w:color w:val="auto"/>
          <w:szCs w:val="22"/>
        </w:rPr>
        <w:t>sulla variazione al bilancio di previsione attesta il recupero del</w:t>
      </w:r>
      <w:r>
        <w:rPr>
          <w:rFonts w:ascii="Arial" w:eastAsia="Arial" w:hAnsi="Arial" w:cs="Arial"/>
          <w:i/>
          <w:iCs/>
          <w:color w:val="auto"/>
          <w:szCs w:val="22"/>
        </w:rPr>
        <w:t xml:space="preserve"> </w:t>
      </w:r>
      <w:r w:rsidRPr="000704E5">
        <w:rPr>
          <w:rFonts w:ascii="Arial" w:eastAsia="Arial" w:hAnsi="Arial" w:cs="Arial"/>
          <w:i/>
          <w:iCs/>
          <w:color w:val="auto"/>
          <w:szCs w:val="22"/>
        </w:rPr>
        <w:t>disavanzo in conformità al piano di rientro. Entro il 31 marzo 2026,</w:t>
      </w:r>
      <w:r>
        <w:rPr>
          <w:rFonts w:ascii="Arial" w:eastAsia="Arial" w:hAnsi="Arial" w:cs="Arial"/>
          <w:i/>
          <w:iCs/>
          <w:color w:val="auto"/>
          <w:szCs w:val="22"/>
        </w:rPr>
        <w:t xml:space="preserve"> </w:t>
      </w:r>
      <w:r w:rsidRPr="000704E5">
        <w:rPr>
          <w:rFonts w:ascii="Arial" w:eastAsia="Arial" w:hAnsi="Arial" w:cs="Arial"/>
          <w:i/>
          <w:iCs/>
          <w:color w:val="auto"/>
          <w:szCs w:val="22"/>
        </w:rPr>
        <w:t>ai sensi dell'articolo 11, comma 11, del decreto legislativo 23</w:t>
      </w:r>
      <w:r>
        <w:rPr>
          <w:rFonts w:ascii="Arial" w:eastAsia="Arial" w:hAnsi="Arial" w:cs="Arial"/>
          <w:i/>
          <w:iCs/>
          <w:color w:val="auto"/>
          <w:szCs w:val="22"/>
        </w:rPr>
        <w:t xml:space="preserve"> </w:t>
      </w:r>
      <w:r w:rsidRPr="000704E5">
        <w:rPr>
          <w:rFonts w:ascii="Arial" w:eastAsia="Arial" w:hAnsi="Arial" w:cs="Arial"/>
          <w:i/>
          <w:iCs/>
          <w:color w:val="auto"/>
          <w:szCs w:val="22"/>
        </w:rPr>
        <w:t>giugno 2011, n. 118, con decreto del Ministero dell'economia e delle</w:t>
      </w:r>
      <w:r>
        <w:rPr>
          <w:rFonts w:ascii="Arial" w:eastAsia="Arial" w:hAnsi="Arial" w:cs="Arial"/>
          <w:i/>
          <w:iCs/>
          <w:color w:val="auto"/>
          <w:szCs w:val="22"/>
        </w:rPr>
        <w:t xml:space="preserve"> </w:t>
      </w:r>
      <w:r w:rsidRPr="000704E5">
        <w:rPr>
          <w:rFonts w:ascii="Arial" w:eastAsia="Arial" w:hAnsi="Arial" w:cs="Arial"/>
          <w:i/>
          <w:iCs/>
          <w:color w:val="auto"/>
          <w:szCs w:val="22"/>
        </w:rPr>
        <w:t>finanze - Dipartimento della Ragioneria generale dello Stato, di</w:t>
      </w:r>
      <w:r>
        <w:rPr>
          <w:rFonts w:ascii="Arial" w:eastAsia="Arial" w:hAnsi="Arial" w:cs="Arial"/>
          <w:i/>
          <w:iCs/>
          <w:color w:val="auto"/>
          <w:szCs w:val="22"/>
        </w:rPr>
        <w:t xml:space="preserve"> </w:t>
      </w:r>
      <w:r w:rsidRPr="000704E5">
        <w:rPr>
          <w:rFonts w:ascii="Arial" w:eastAsia="Arial" w:hAnsi="Arial" w:cs="Arial"/>
          <w:i/>
          <w:iCs/>
          <w:color w:val="auto"/>
          <w:szCs w:val="22"/>
        </w:rPr>
        <w:t>concerto con il Ministero dell'interno - Dipartimento per gli affari</w:t>
      </w:r>
      <w:r>
        <w:rPr>
          <w:rFonts w:ascii="Arial" w:eastAsia="Arial" w:hAnsi="Arial" w:cs="Arial"/>
          <w:i/>
          <w:iCs/>
          <w:color w:val="auto"/>
          <w:szCs w:val="22"/>
        </w:rPr>
        <w:t xml:space="preserve"> </w:t>
      </w:r>
      <w:r w:rsidRPr="000704E5">
        <w:rPr>
          <w:rFonts w:ascii="Arial" w:eastAsia="Arial" w:hAnsi="Arial" w:cs="Arial"/>
          <w:i/>
          <w:iCs/>
          <w:color w:val="auto"/>
          <w:szCs w:val="22"/>
        </w:rPr>
        <w:t>interni e territoriali e la Presidenza del Consiglio dei ministri -</w:t>
      </w:r>
      <w:r>
        <w:rPr>
          <w:rFonts w:ascii="Arial" w:eastAsia="Arial" w:hAnsi="Arial" w:cs="Arial"/>
          <w:i/>
          <w:iCs/>
          <w:color w:val="auto"/>
          <w:szCs w:val="22"/>
        </w:rPr>
        <w:t xml:space="preserve"> </w:t>
      </w:r>
      <w:r w:rsidRPr="000704E5">
        <w:rPr>
          <w:rFonts w:ascii="Arial" w:eastAsia="Arial" w:hAnsi="Arial" w:cs="Arial"/>
          <w:i/>
          <w:iCs/>
          <w:color w:val="auto"/>
          <w:szCs w:val="22"/>
        </w:rPr>
        <w:t>Dipartimento per gli affari regionali e le autonomie, su proposta</w:t>
      </w:r>
      <w:r>
        <w:rPr>
          <w:rFonts w:ascii="Arial" w:eastAsia="Arial" w:hAnsi="Arial" w:cs="Arial"/>
          <w:i/>
          <w:iCs/>
          <w:color w:val="auto"/>
          <w:szCs w:val="22"/>
        </w:rPr>
        <w:t xml:space="preserve"> </w:t>
      </w:r>
      <w:r w:rsidRPr="000704E5">
        <w:rPr>
          <w:rFonts w:ascii="Arial" w:eastAsia="Arial" w:hAnsi="Arial" w:cs="Arial"/>
          <w:i/>
          <w:iCs/>
          <w:color w:val="auto"/>
          <w:szCs w:val="22"/>
        </w:rPr>
        <w:t>della Commissione per l'armonizzazione degli enti territoriali di cui</w:t>
      </w:r>
      <w:r>
        <w:rPr>
          <w:rFonts w:ascii="Arial" w:eastAsia="Arial" w:hAnsi="Arial" w:cs="Arial"/>
          <w:i/>
          <w:iCs/>
          <w:color w:val="auto"/>
          <w:szCs w:val="22"/>
        </w:rPr>
        <w:t xml:space="preserve"> </w:t>
      </w:r>
      <w:r w:rsidRPr="000704E5">
        <w:rPr>
          <w:rFonts w:ascii="Arial" w:eastAsia="Arial" w:hAnsi="Arial" w:cs="Arial"/>
          <w:i/>
          <w:iCs/>
          <w:color w:val="auto"/>
          <w:szCs w:val="22"/>
        </w:rPr>
        <w:t>all'articolo 3-bis del citato decreto legislativo n. 118 del 2011,</w:t>
      </w:r>
      <w:r>
        <w:rPr>
          <w:rFonts w:ascii="Arial" w:eastAsia="Arial" w:hAnsi="Arial" w:cs="Arial"/>
          <w:i/>
          <w:iCs/>
          <w:color w:val="auto"/>
          <w:szCs w:val="22"/>
        </w:rPr>
        <w:t xml:space="preserve"> </w:t>
      </w:r>
      <w:r w:rsidRPr="000704E5">
        <w:rPr>
          <w:rFonts w:ascii="Arial" w:eastAsia="Arial" w:hAnsi="Arial" w:cs="Arial"/>
          <w:i/>
          <w:iCs/>
          <w:color w:val="auto"/>
          <w:szCs w:val="22"/>
        </w:rPr>
        <w:t>sono aggiornati gli allegati al medesimo decreto legislativo n. 118</w:t>
      </w:r>
      <w:r>
        <w:rPr>
          <w:rFonts w:ascii="Arial" w:eastAsia="Arial" w:hAnsi="Arial" w:cs="Arial"/>
          <w:i/>
          <w:iCs/>
          <w:color w:val="auto"/>
          <w:szCs w:val="22"/>
        </w:rPr>
        <w:t xml:space="preserve"> </w:t>
      </w:r>
      <w:r w:rsidRPr="000704E5">
        <w:rPr>
          <w:rFonts w:ascii="Arial" w:eastAsia="Arial" w:hAnsi="Arial" w:cs="Arial"/>
          <w:i/>
          <w:iCs/>
          <w:color w:val="auto"/>
          <w:szCs w:val="22"/>
        </w:rPr>
        <w:t>del 2011, concernenti gli schemi di bilancio, per monitorare</w:t>
      </w:r>
      <w:r>
        <w:rPr>
          <w:rFonts w:ascii="Arial" w:eastAsia="Arial" w:hAnsi="Arial" w:cs="Arial"/>
          <w:i/>
          <w:iCs/>
          <w:color w:val="auto"/>
          <w:szCs w:val="22"/>
        </w:rPr>
        <w:t xml:space="preserve"> </w:t>
      </w:r>
      <w:r w:rsidRPr="000704E5">
        <w:rPr>
          <w:rFonts w:ascii="Arial" w:eastAsia="Arial" w:hAnsi="Arial" w:cs="Arial"/>
          <w:i/>
          <w:iCs/>
          <w:color w:val="auto"/>
          <w:szCs w:val="22"/>
        </w:rPr>
        <w:t>l'utilizzo dell'avanzo previsto dal presente comma</w:t>
      </w:r>
      <w:r w:rsidR="00AD74C6" w:rsidRPr="00AD74C6">
        <w:rPr>
          <w:rFonts w:ascii="Arial" w:eastAsia="Arial" w:hAnsi="Arial" w:cs="Arial"/>
          <w:i/>
          <w:iCs/>
          <w:color w:val="auto"/>
          <w:szCs w:val="22"/>
        </w:rPr>
        <w:t>».</w:t>
      </w:r>
    </w:p>
    <w:p w14:paraId="299AB1D5" w14:textId="13672918" w:rsidR="0059751B" w:rsidRDefault="00921A8C" w:rsidP="0059751B">
      <w:pPr>
        <w:widowControl w:val="0"/>
        <w:pBdr>
          <w:top w:val="single" w:sz="18" w:space="1" w:color="EE0000"/>
          <w:left w:val="single" w:sz="18" w:space="4" w:color="EE0000"/>
          <w:bottom w:val="single" w:sz="18" w:space="1" w:color="EE0000"/>
          <w:right w:val="single" w:sz="18" w:space="4" w:color="EE0000"/>
        </w:pBdr>
        <w:spacing w:after="0" w:line="240" w:lineRule="auto"/>
      </w:pPr>
      <w:r w:rsidRPr="00921A8C">
        <w:rPr>
          <w:rFonts w:ascii="Arial" w:eastAsia="Arial" w:hAnsi="Arial" w:cs="Arial"/>
          <w:i/>
          <w:iCs/>
          <w:color w:val="auto"/>
          <w:szCs w:val="22"/>
        </w:rPr>
        <w:t>La norma introduce una deroga di rilievo alla disciplina dell’utilizzo degli avanzi vincolati</w:t>
      </w:r>
      <w:r>
        <w:rPr>
          <w:rFonts w:ascii="Arial" w:eastAsia="Arial" w:hAnsi="Arial" w:cs="Arial"/>
          <w:i/>
          <w:iCs/>
          <w:color w:val="auto"/>
          <w:szCs w:val="22"/>
        </w:rPr>
        <w:t xml:space="preserve"> </w:t>
      </w:r>
      <w:r w:rsidRPr="00921A8C">
        <w:rPr>
          <w:rFonts w:ascii="Arial" w:eastAsia="Arial" w:hAnsi="Arial" w:cs="Arial"/>
          <w:i/>
          <w:iCs/>
          <w:color w:val="auto"/>
          <w:szCs w:val="22"/>
        </w:rPr>
        <w:t>per gli enti locali in disavanzo complessivo (co 897-898, L. 145/2018). Il nuovo comma</w:t>
      </w:r>
      <w:r>
        <w:rPr>
          <w:rFonts w:ascii="Arial" w:eastAsia="Arial" w:hAnsi="Arial" w:cs="Arial"/>
          <w:i/>
          <w:iCs/>
          <w:color w:val="auto"/>
          <w:szCs w:val="22"/>
        </w:rPr>
        <w:t xml:space="preserve"> </w:t>
      </w:r>
      <w:r w:rsidRPr="00921A8C">
        <w:rPr>
          <w:rFonts w:ascii="Arial" w:eastAsia="Arial" w:hAnsi="Arial" w:cs="Arial"/>
          <w:i/>
          <w:iCs/>
          <w:color w:val="auto"/>
          <w:szCs w:val="22"/>
        </w:rPr>
        <w:t>898-bis permette agli enti in disavanzo complessivo di utilizzare gli avanzi vincolati di</w:t>
      </w:r>
      <w:r>
        <w:rPr>
          <w:rFonts w:ascii="Arial" w:eastAsia="Arial" w:hAnsi="Arial" w:cs="Arial"/>
          <w:i/>
          <w:iCs/>
          <w:color w:val="auto"/>
          <w:szCs w:val="22"/>
        </w:rPr>
        <w:t xml:space="preserve"> </w:t>
      </w:r>
      <w:r w:rsidRPr="00921A8C">
        <w:rPr>
          <w:rFonts w:ascii="Arial" w:eastAsia="Arial" w:hAnsi="Arial" w:cs="Arial"/>
          <w:i/>
          <w:iCs/>
          <w:color w:val="auto"/>
          <w:szCs w:val="22"/>
        </w:rPr>
        <w:t xml:space="preserve">parte corrente formatisi l’anno precedente oltre i ristretti limiti attualmente previsti. </w:t>
      </w:r>
      <w:r>
        <w:rPr>
          <w:rFonts w:ascii="Arial" w:eastAsia="Arial" w:hAnsi="Arial" w:cs="Arial"/>
          <w:i/>
          <w:iCs/>
          <w:color w:val="auto"/>
          <w:szCs w:val="22"/>
        </w:rPr>
        <w:t>Inoltre</w:t>
      </w:r>
      <w:r w:rsidR="00E42A64">
        <w:rPr>
          <w:rFonts w:ascii="Arial" w:eastAsia="Arial" w:hAnsi="Arial" w:cs="Arial"/>
          <w:i/>
          <w:iCs/>
          <w:color w:val="auto"/>
          <w:szCs w:val="22"/>
        </w:rPr>
        <w:t>,</w:t>
      </w:r>
      <w:r>
        <w:rPr>
          <w:rFonts w:ascii="Arial" w:eastAsia="Arial" w:hAnsi="Arial" w:cs="Arial"/>
          <w:i/>
          <w:iCs/>
          <w:color w:val="auto"/>
          <w:szCs w:val="22"/>
        </w:rPr>
        <w:t xml:space="preserve"> la norma specifica che i</w:t>
      </w:r>
      <w:r w:rsidRPr="00921A8C">
        <w:rPr>
          <w:rFonts w:ascii="Arial" w:eastAsia="Arial" w:hAnsi="Arial" w:cs="Arial"/>
          <w:i/>
          <w:iCs/>
          <w:color w:val="auto"/>
          <w:szCs w:val="22"/>
        </w:rPr>
        <w:t xml:space="preserve">l parere dei revisori dei conti sulla variazione al bilancio di previsione </w:t>
      </w:r>
      <w:r>
        <w:rPr>
          <w:rFonts w:ascii="Arial" w:eastAsia="Arial" w:hAnsi="Arial" w:cs="Arial"/>
          <w:i/>
          <w:iCs/>
          <w:color w:val="auto"/>
          <w:szCs w:val="22"/>
        </w:rPr>
        <w:t xml:space="preserve">deve </w:t>
      </w:r>
      <w:r w:rsidRPr="00921A8C">
        <w:rPr>
          <w:rFonts w:ascii="Arial" w:eastAsia="Arial" w:hAnsi="Arial" w:cs="Arial"/>
          <w:i/>
          <w:iCs/>
          <w:color w:val="auto"/>
          <w:szCs w:val="22"/>
        </w:rPr>
        <w:t>attesta</w:t>
      </w:r>
      <w:r>
        <w:rPr>
          <w:rFonts w:ascii="Arial" w:eastAsia="Arial" w:hAnsi="Arial" w:cs="Arial"/>
          <w:i/>
          <w:iCs/>
          <w:color w:val="auto"/>
          <w:szCs w:val="22"/>
        </w:rPr>
        <w:t>re</w:t>
      </w:r>
      <w:r w:rsidRPr="00921A8C">
        <w:rPr>
          <w:rFonts w:ascii="Arial" w:eastAsia="Arial" w:hAnsi="Arial" w:cs="Arial"/>
          <w:i/>
          <w:iCs/>
          <w:color w:val="auto"/>
          <w:szCs w:val="22"/>
        </w:rPr>
        <w:t xml:space="preserve"> il recupero del</w:t>
      </w:r>
      <w:r>
        <w:rPr>
          <w:rFonts w:ascii="Arial" w:eastAsia="Arial" w:hAnsi="Arial" w:cs="Arial"/>
          <w:i/>
          <w:iCs/>
          <w:color w:val="auto"/>
          <w:szCs w:val="22"/>
        </w:rPr>
        <w:t xml:space="preserve"> </w:t>
      </w:r>
      <w:r w:rsidRPr="00921A8C">
        <w:rPr>
          <w:rFonts w:ascii="Arial" w:eastAsia="Arial" w:hAnsi="Arial" w:cs="Arial"/>
          <w:i/>
          <w:iCs/>
          <w:color w:val="auto"/>
          <w:szCs w:val="22"/>
        </w:rPr>
        <w:t>disavanzo in conformità al piano di rientro.</w:t>
      </w:r>
    </w:p>
    <w:p w14:paraId="7BACE2CB" w14:textId="63445422" w:rsidR="00AD7B50" w:rsidRDefault="0062092F" w:rsidP="00AD7B50">
      <w:pPr>
        <w:pStyle w:val="Titolo1"/>
        <w:numPr>
          <w:ilvl w:val="0"/>
          <w:numId w:val="0"/>
        </w:numPr>
        <w:ind w:left="357" w:hanging="357"/>
        <w:rPr>
          <w:rFonts w:ascii="Cambria" w:eastAsia="Cambria" w:hAnsi="Cambria" w:cs="Cambria"/>
          <w:b w:val="0"/>
          <w:color w:val="000000"/>
          <w:sz w:val="32"/>
          <w:szCs w:val="32"/>
        </w:rPr>
      </w:pPr>
      <w:bookmarkStart w:id="21" w:name="_Toc219808162"/>
      <w:r>
        <w:lastRenderedPageBreak/>
        <w:t>6</w:t>
      </w:r>
      <w:r w:rsidR="00AD7B50" w:rsidRPr="00867831">
        <w:t xml:space="preserve">. </w:t>
      </w:r>
      <w:r w:rsidR="00135AF1">
        <w:t>BILANCIO DI PREVISIONE</w:t>
      </w:r>
      <w:r w:rsidR="00AD7B50">
        <w:t xml:space="preserve"> 202</w:t>
      </w:r>
      <w:r w:rsidR="009C38AA">
        <w:t>6</w:t>
      </w:r>
      <w:r w:rsidR="00AD7B50">
        <w:t>-202</w:t>
      </w:r>
      <w:r w:rsidR="009C38AA">
        <w:t>8</w:t>
      </w:r>
      <w:bookmarkEnd w:id="21"/>
    </w:p>
    <w:p w14:paraId="5D3CA2D0" w14:textId="0D13E076" w:rsidR="002B1C98"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E53B4C" w:rsidRPr="004B4CFE">
        <w:rPr>
          <w:rFonts w:ascii="Arial" w:eastAsia="Arial" w:hAnsi="Arial" w:cs="Arial"/>
          <w:color w:val="auto"/>
          <w:szCs w:val="22"/>
        </w:rPr>
        <w:t>:</w:t>
      </w:r>
    </w:p>
    <w:p w14:paraId="2AE01B59" w14:textId="04D5DD35" w:rsidR="004D7BBE" w:rsidRPr="004B4CFE" w:rsidRDefault="00E53B4C" w:rsidP="004D7BBE">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il bilancio di previsione </w:t>
      </w:r>
      <w:r w:rsidR="00DB733A" w:rsidRPr="004B4CFE">
        <w:rPr>
          <w:rFonts w:ascii="Arial" w:eastAsia="Arial" w:hAnsi="Arial" w:cs="Arial"/>
          <w:color w:val="auto"/>
          <w:szCs w:val="22"/>
        </w:rPr>
        <w:t>202</w:t>
      </w:r>
      <w:r w:rsidR="009C38AA">
        <w:rPr>
          <w:rFonts w:ascii="Arial" w:eastAsia="Arial" w:hAnsi="Arial" w:cs="Arial"/>
          <w:color w:val="auto"/>
          <w:szCs w:val="22"/>
        </w:rPr>
        <w:t>6</w:t>
      </w:r>
      <w:r w:rsidR="00DB733A" w:rsidRPr="004B4CFE">
        <w:rPr>
          <w:rFonts w:ascii="Arial" w:eastAsia="Arial" w:hAnsi="Arial" w:cs="Arial"/>
          <w:color w:val="auto"/>
          <w:szCs w:val="22"/>
        </w:rPr>
        <w:t>-202</w:t>
      </w:r>
      <w:r w:rsidR="009C38AA">
        <w:rPr>
          <w:rFonts w:ascii="Arial" w:eastAsia="Arial" w:hAnsi="Arial" w:cs="Arial"/>
          <w:color w:val="auto"/>
          <w:szCs w:val="22"/>
        </w:rPr>
        <w:t>8</w:t>
      </w:r>
      <w:r w:rsidR="00DB733A" w:rsidRPr="004B4CFE">
        <w:rPr>
          <w:rFonts w:ascii="Arial" w:eastAsia="Arial" w:hAnsi="Arial" w:cs="Arial"/>
          <w:color w:val="auto"/>
          <w:szCs w:val="22"/>
        </w:rPr>
        <w:t xml:space="preserve"> </w:t>
      </w:r>
      <w:r w:rsidR="000F434D" w:rsidRPr="004B4CFE">
        <w:rPr>
          <w:rFonts w:ascii="Arial" w:eastAsia="Arial" w:hAnsi="Arial" w:cs="Arial"/>
          <w:b/>
          <w:color w:val="auto"/>
          <w:szCs w:val="22"/>
        </w:rPr>
        <w:t>rispetta/non rispetta</w:t>
      </w:r>
      <w:r w:rsidR="000F434D" w:rsidRPr="004B4CFE">
        <w:rPr>
          <w:rFonts w:ascii="Arial" w:eastAsia="Arial" w:hAnsi="Arial" w:cs="Arial"/>
          <w:color w:val="auto"/>
          <w:szCs w:val="22"/>
        </w:rPr>
        <w:t xml:space="preserve"> il pareggio finanziario complessivo di competenza e gli equilibri di parte corrente e in conto capitale, ai sensi dell’articolo 162 del T</w:t>
      </w:r>
      <w:r w:rsidR="00E76B91">
        <w:rPr>
          <w:rFonts w:ascii="Arial" w:eastAsia="Arial" w:hAnsi="Arial" w:cs="Arial"/>
          <w:color w:val="auto"/>
          <w:szCs w:val="22"/>
        </w:rPr>
        <w:t>UEL</w:t>
      </w:r>
      <w:r w:rsidR="004D7BBE" w:rsidRPr="004B4CFE">
        <w:rPr>
          <w:rFonts w:ascii="Arial" w:eastAsia="Arial" w:hAnsi="Arial" w:cs="Arial"/>
          <w:color w:val="auto"/>
          <w:szCs w:val="22"/>
        </w:rPr>
        <w:t>;</w:t>
      </w:r>
    </w:p>
    <w:p w14:paraId="27966785" w14:textId="2DBE4296" w:rsidR="0062092F" w:rsidRPr="004B4CFE" w:rsidRDefault="004D7BBE" w:rsidP="004D7BBE">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 xml:space="preserve">- </w:t>
      </w:r>
      <w:r w:rsidR="00E53B4C" w:rsidRPr="004B4CFE">
        <w:rPr>
          <w:rFonts w:ascii="Arial" w:eastAsia="Arial" w:hAnsi="Arial" w:cs="Arial"/>
          <w:color w:val="auto"/>
        </w:rPr>
        <w:t>le previsioni di bilancio - in ossequio ai principi di veridicità ed attendibilità - sono suffragate da analisi e/o studi dei responsabili dei servizi competenti, nel rispetto dell’art. 162, co. 5, TUEL e del postulato n. 5 di cui all’allegato 1 del D.lgs. n.118/2011;</w:t>
      </w:r>
    </w:p>
    <w:p w14:paraId="6981BA63" w14:textId="77A0395C" w:rsidR="00E53B4C" w:rsidRPr="00F56672" w:rsidRDefault="00E53B4C" w:rsidP="00E53B4C">
      <w:pPr>
        <w:ind w:hanging="2"/>
        <w:rPr>
          <w:rFonts w:ascii="Arial" w:eastAsia="Arial" w:hAnsi="Arial" w:cs="Arial"/>
          <w:color w:val="00B0F0"/>
          <w:szCs w:val="22"/>
        </w:rPr>
      </w:pPr>
      <w:r w:rsidRPr="00F56672">
        <w:rPr>
          <w:rFonts w:ascii="Arial" w:eastAsia="Arial" w:hAnsi="Arial" w:cs="Arial"/>
          <w:i/>
          <w:color w:val="00B0F0"/>
          <w:szCs w:val="22"/>
        </w:rPr>
        <w:t xml:space="preserve">Nel caso di risposta negativa fornire </w:t>
      </w:r>
      <w:r w:rsidR="00160626" w:rsidRPr="00F56672">
        <w:rPr>
          <w:rFonts w:ascii="Arial" w:eastAsia="Arial" w:hAnsi="Arial" w:cs="Arial"/>
          <w:i/>
          <w:color w:val="00B0F0"/>
          <w:szCs w:val="22"/>
        </w:rPr>
        <w:t>chiarimenti:</w:t>
      </w:r>
      <w:r w:rsidR="00352C52">
        <w:rPr>
          <w:rFonts w:ascii="Arial" w:eastAsia="Arial" w:hAnsi="Arial" w:cs="Arial"/>
          <w:i/>
          <w:color w:val="00B0F0"/>
          <w:szCs w:val="22"/>
        </w:rPr>
        <w:t xml:space="preserve"> </w:t>
      </w:r>
      <w:r w:rsidRPr="00F56672">
        <w:rPr>
          <w:rFonts w:ascii="Arial" w:eastAsia="Arial" w:hAnsi="Arial" w:cs="Arial"/>
          <w:i/>
          <w:color w:val="00B0F0"/>
          <w:szCs w:val="22"/>
        </w:rPr>
        <w:t>………..</w:t>
      </w:r>
    </w:p>
    <w:p w14:paraId="49A9749D" w14:textId="432C6EA9" w:rsidR="000F434D" w:rsidRPr="00DB733A" w:rsidRDefault="00E53B4C" w:rsidP="000F434D">
      <w:pPr>
        <w:tabs>
          <w:tab w:val="left" w:pos="2325"/>
          <w:tab w:val="left" w:pos="5387"/>
        </w:tabs>
        <w:ind w:hanging="2"/>
        <w:rPr>
          <w:rFonts w:ascii="Arial" w:eastAsia="Arial" w:hAnsi="Arial" w:cs="Arial"/>
          <w:color w:val="auto"/>
          <w:szCs w:val="22"/>
        </w:rPr>
      </w:pPr>
      <w:r w:rsidRPr="00DB733A">
        <w:rPr>
          <w:rFonts w:ascii="Arial" w:eastAsia="Arial" w:hAnsi="Arial" w:cs="Arial"/>
          <w:color w:val="auto"/>
          <w:szCs w:val="22"/>
        </w:rPr>
        <w:t>-</w:t>
      </w:r>
      <w:r w:rsidR="000F434D" w:rsidRPr="00DB733A">
        <w:rPr>
          <w:rFonts w:ascii="Arial" w:eastAsia="Arial" w:hAnsi="Arial" w:cs="Arial"/>
          <w:color w:val="auto"/>
          <w:szCs w:val="22"/>
        </w:rPr>
        <w:t xml:space="preserve"> le previsioni di competenza </w:t>
      </w:r>
      <w:r w:rsidR="000F434D" w:rsidRPr="00DB733A">
        <w:rPr>
          <w:rFonts w:ascii="Arial" w:eastAsia="Arial" w:hAnsi="Arial" w:cs="Arial"/>
          <w:b/>
          <w:color w:val="auto"/>
          <w:szCs w:val="22"/>
        </w:rPr>
        <w:t>rispettano/non rispettano</w:t>
      </w:r>
      <w:r w:rsidR="000F434D" w:rsidRPr="00DB733A">
        <w:rPr>
          <w:rFonts w:ascii="Arial" w:eastAsia="Arial" w:hAnsi="Arial" w:cs="Arial"/>
          <w:color w:val="auto"/>
          <w:szCs w:val="22"/>
        </w:rPr>
        <w:t xml:space="preserve"> il principio generale n.16 e i principi contabili e rappresentano le entrate e le spese che si prevede saranno esigibili in ciascuno degli esercizi considerati anche se l’obbligazione giuridica è sorta in esercizi precedenti.</w:t>
      </w:r>
    </w:p>
    <w:p w14:paraId="5A2D18DB" w14:textId="751E6983"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competenza per gli anni 202</w:t>
      </w:r>
      <w:r w:rsidR="009C38AA">
        <w:rPr>
          <w:rFonts w:ascii="Arial" w:eastAsia="Arial" w:hAnsi="Arial" w:cs="Arial"/>
          <w:color w:val="000000"/>
          <w:szCs w:val="22"/>
        </w:rPr>
        <w:t>6</w:t>
      </w:r>
      <w:r>
        <w:rPr>
          <w:rFonts w:ascii="Arial" w:eastAsia="Arial" w:hAnsi="Arial" w:cs="Arial"/>
          <w:color w:val="000000"/>
          <w:szCs w:val="22"/>
        </w:rPr>
        <w:t>, 202</w:t>
      </w:r>
      <w:r w:rsidR="009C38AA">
        <w:rPr>
          <w:rFonts w:ascii="Arial" w:eastAsia="Arial" w:hAnsi="Arial" w:cs="Arial"/>
          <w:color w:val="000000"/>
          <w:szCs w:val="22"/>
        </w:rPr>
        <w:t>7</w:t>
      </w:r>
      <w:r>
        <w:rPr>
          <w:rFonts w:ascii="Arial" w:eastAsia="Arial" w:hAnsi="Arial" w:cs="Arial"/>
          <w:color w:val="000000"/>
          <w:szCs w:val="22"/>
        </w:rPr>
        <w:t xml:space="preserve"> e 202</w:t>
      </w:r>
      <w:r w:rsidR="009C38AA">
        <w:rPr>
          <w:rFonts w:ascii="Arial" w:eastAsia="Arial" w:hAnsi="Arial" w:cs="Arial"/>
          <w:color w:val="000000"/>
          <w:szCs w:val="22"/>
        </w:rPr>
        <w:t>8</w:t>
      </w:r>
      <w:r>
        <w:rPr>
          <w:rFonts w:ascii="Arial" w:eastAsia="Arial" w:hAnsi="Arial" w:cs="Arial"/>
          <w:color w:val="000000"/>
          <w:szCs w:val="22"/>
        </w:rPr>
        <w:t xml:space="preserve"> confrontate con le previsioni definitive per l’anno 202</w:t>
      </w:r>
      <w:r w:rsidR="009C38AA">
        <w:rPr>
          <w:rFonts w:ascii="Arial" w:eastAsia="Arial" w:hAnsi="Arial" w:cs="Arial"/>
          <w:color w:val="000000"/>
          <w:szCs w:val="22"/>
        </w:rPr>
        <w:t>5</w:t>
      </w:r>
      <w:r>
        <w:rPr>
          <w:rFonts w:ascii="Arial" w:eastAsia="Arial" w:hAnsi="Arial" w:cs="Arial"/>
          <w:color w:val="000000"/>
          <w:szCs w:val="22"/>
        </w:rPr>
        <w:t xml:space="preserve"> sono così formulate: </w:t>
      </w:r>
    </w:p>
    <w:p w14:paraId="45097123" w14:textId="77777777" w:rsidR="000F434D" w:rsidRDefault="000F434D" w:rsidP="000F434D">
      <w:pPr>
        <w:pBdr>
          <w:top w:val="nil"/>
          <w:left w:val="nil"/>
          <w:bottom w:val="nil"/>
          <w:right w:val="nil"/>
          <w:between w:val="nil"/>
        </w:pBdr>
        <w:spacing w:line="240" w:lineRule="auto"/>
        <w:ind w:hanging="2"/>
      </w:pPr>
    </w:p>
    <w:p w14:paraId="1E0413C5" w14:textId="5F4BF7E8"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4</w:t>
      </w:r>
    </w:p>
    <w:p w14:paraId="2467BEDC" w14:textId="77777777" w:rsidR="000F434D" w:rsidRDefault="000F434D" w:rsidP="000F434D">
      <w:pPr>
        <w:pBdr>
          <w:top w:val="nil"/>
          <w:left w:val="nil"/>
          <w:bottom w:val="nil"/>
          <w:right w:val="nil"/>
          <w:between w:val="nil"/>
        </w:pBdr>
        <w:spacing w:line="240" w:lineRule="auto"/>
        <w:ind w:left="1" w:hanging="3"/>
        <w:rPr>
          <w:rFonts w:ascii="Cambria" w:eastAsia="Cambria" w:hAnsi="Cambria" w:cs="Cambria"/>
          <w:b/>
          <w:i/>
          <w:color w:val="000000"/>
          <w:sz w:val="28"/>
          <w:szCs w:val="28"/>
        </w:rPr>
      </w:pPr>
    </w:p>
    <w:p w14:paraId="3B11C421" w14:textId="7BA26460" w:rsidR="000F434D" w:rsidRPr="00AD7B50"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2" w:name="_Toc219808163"/>
      <w:r>
        <w:rPr>
          <w:rFonts w:ascii="Calibri" w:eastAsiaTheme="majorEastAsia" w:hAnsi="Calibri" w:cs="Times New Roman (Titoli CS)"/>
          <w:b/>
          <w:i/>
          <w:iCs/>
          <w:color w:val="C00000"/>
          <w:sz w:val="28"/>
          <w:szCs w:val="40"/>
        </w:rPr>
        <w:t>6</w:t>
      </w:r>
      <w:r w:rsidR="00AD7B50" w:rsidRPr="00AD7B50">
        <w:rPr>
          <w:rFonts w:ascii="Calibri" w:eastAsiaTheme="majorEastAsia" w:hAnsi="Calibri" w:cs="Times New Roman (Titoli CS)"/>
          <w:b/>
          <w:i/>
          <w:iCs/>
          <w:color w:val="C00000"/>
          <w:sz w:val="28"/>
          <w:szCs w:val="40"/>
        </w:rPr>
        <w:t>.1.</w:t>
      </w:r>
      <w:r w:rsidR="00160626">
        <w:rPr>
          <w:rFonts w:ascii="Calibri" w:eastAsiaTheme="majorEastAsia" w:hAnsi="Calibri" w:cs="Times New Roman (Titoli CS)"/>
          <w:b/>
          <w:i/>
          <w:iCs/>
          <w:color w:val="C00000"/>
          <w:sz w:val="28"/>
          <w:szCs w:val="40"/>
        </w:rPr>
        <w:t xml:space="preserve"> </w:t>
      </w:r>
      <w:r w:rsidR="000F434D" w:rsidRPr="00AD7B50">
        <w:rPr>
          <w:rFonts w:ascii="Calibri" w:eastAsiaTheme="majorEastAsia" w:hAnsi="Calibri" w:cs="Times New Roman (Titoli CS)"/>
          <w:b/>
          <w:i/>
          <w:iCs/>
          <w:color w:val="C00000"/>
          <w:sz w:val="28"/>
          <w:szCs w:val="40"/>
        </w:rPr>
        <w:t>Fondo pluriennale vincolato (FPV)</w:t>
      </w:r>
      <w:bookmarkEnd w:id="22"/>
    </w:p>
    <w:p w14:paraId="508E8CA0" w14:textId="0C5CD690" w:rsidR="000F434D" w:rsidRPr="00B809D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B809D0">
        <w:rPr>
          <w:rFonts w:ascii="Arial" w:eastAsia="Arial" w:hAnsi="Arial" w:cs="Arial"/>
          <w:color w:val="000000"/>
          <w:szCs w:val="22"/>
        </w:rPr>
        <w:t>Al fine di garantire il migliore utilizzo delle risorse finanziarie destinate a spese di investimento nella costituzione del FPV al 1° gennaio 202</w:t>
      </w:r>
      <w:r w:rsidR="009C38AA">
        <w:rPr>
          <w:rFonts w:ascii="Arial" w:eastAsia="Arial" w:hAnsi="Arial" w:cs="Arial"/>
          <w:color w:val="000000"/>
          <w:szCs w:val="22"/>
        </w:rPr>
        <w:t>6</w:t>
      </w:r>
      <w:r w:rsidRPr="00B809D0">
        <w:rPr>
          <w:rFonts w:ascii="Arial" w:eastAsia="Arial" w:hAnsi="Arial" w:cs="Arial"/>
          <w:color w:val="000000"/>
          <w:szCs w:val="22"/>
        </w:rPr>
        <w:t xml:space="preserve">, l’Organo di revisione ha verificato che </w:t>
      </w:r>
      <w:r w:rsidR="00E7181A">
        <w:rPr>
          <w:rFonts w:ascii="Arial" w:eastAsia="Arial" w:hAnsi="Arial" w:cs="Arial"/>
          <w:color w:val="000000"/>
          <w:szCs w:val="22"/>
        </w:rPr>
        <w:t xml:space="preserve">l’Ente </w:t>
      </w:r>
      <w:r w:rsidR="00E7181A" w:rsidRPr="00E7181A">
        <w:rPr>
          <w:rFonts w:ascii="Arial" w:eastAsia="Arial" w:hAnsi="Arial" w:cs="Arial"/>
          <w:b/>
          <w:bCs/>
          <w:color w:val="000000"/>
          <w:szCs w:val="22"/>
        </w:rPr>
        <w:t>ha</w:t>
      </w:r>
      <w:r w:rsidR="00E76B91">
        <w:rPr>
          <w:rFonts w:ascii="Arial" w:eastAsia="Arial" w:hAnsi="Arial" w:cs="Arial"/>
          <w:b/>
          <w:bCs/>
          <w:color w:val="000000"/>
          <w:szCs w:val="22"/>
        </w:rPr>
        <w:t xml:space="preserve"> applicato</w:t>
      </w:r>
      <w:r w:rsidR="00E7181A" w:rsidRPr="00E7181A">
        <w:rPr>
          <w:rFonts w:ascii="Arial" w:eastAsia="Arial" w:hAnsi="Arial" w:cs="Arial"/>
          <w:b/>
          <w:bCs/>
          <w:color w:val="000000"/>
          <w:szCs w:val="22"/>
        </w:rPr>
        <w:t>/non ha applicato</w:t>
      </w:r>
      <w:r w:rsidR="00E7181A">
        <w:rPr>
          <w:rFonts w:ascii="Arial" w:eastAsia="Arial" w:hAnsi="Arial" w:cs="Arial"/>
          <w:color w:val="000000"/>
          <w:szCs w:val="22"/>
        </w:rPr>
        <w:t xml:space="preserve"> </w:t>
      </w:r>
      <w:r w:rsidRPr="00B809D0">
        <w:rPr>
          <w:rFonts w:ascii="Arial" w:eastAsia="Arial" w:hAnsi="Arial" w:cs="Arial"/>
          <w:color w:val="000000"/>
          <w:szCs w:val="22"/>
        </w:rPr>
        <w:t>correttamente il Principio contabile applicato della contabilità finanziaria, avuto riguardo in particolare a</w:t>
      </w:r>
      <w:r w:rsidR="00D20521">
        <w:rPr>
          <w:rFonts w:ascii="Arial" w:eastAsia="Arial" w:hAnsi="Arial" w:cs="Arial"/>
          <w:color w:val="000000"/>
          <w:szCs w:val="22"/>
        </w:rPr>
        <w:t>l paragrafo</w:t>
      </w:r>
      <w:r w:rsidRPr="00B809D0">
        <w:rPr>
          <w:rFonts w:ascii="Arial" w:eastAsia="Arial" w:hAnsi="Arial" w:cs="Arial"/>
          <w:color w:val="000000"/>
          <w:szCs w:val="22"/>
        </w:rPr>
        <w:t xml:space="preserve"> 5.4.9 (</w:t>
      </w:r>
      <w:r w:rsidR="00D20521">
        <w:rPr>
          <w:rFonts w:ascii="Arial" w:eastAsia="Arial" w:hAnsi="Arial" w:cs="Arial"/>
          <w:color w:val="000000"/>
          <w:szCs w:val="22"/>
        </w:rPr>
        <w:t>la conservazione del fondo pluriennale vincolato per le spese non ancora impegnate</w:t>
      </w:r>
      <w:r w:rsidRPr="00B809D0">
        <w:rPr>
          <w:rFonts w:ascii="Arial" w:eastAsia="Arial" w:hAnsi="Arial" w:cs="Arial"/>
          <w:color w:val="000000"/>
          <w:szCs w:val="22"/>
        </w:rPr>
        <w:t>)</w:t>
      </w:r>
      <w:r w:rsidR="008447CF">
        <w:rPr>
          <w:rFonts w:ascii="Arial" w:eastAsia="Arial" w:hAnsi="Arial" w:cs="Arial"/>
          <w:color w:val="000000"/>
          <w:szCs w:val="22"/>
        </w:rPr>
        <w:t xml:space="preserve"> tenuto conto delle novità introdotte dal </w:t>
      </w:r>
      <w:r w:rsidR="008447CF" w:rsidRPr="008447CF">
        <w:rPr>
          <w:rFonts w:ascii="Arial" w:eastAsia="Arial" w:hAnsi="Arial" w:cs="Arial"/>
          <w:color w:val="000000"/>
          <w:szCs w:val="22"/>
        </w:rPr>
        <w:t>D</w:t>
      </w:r>
      <w:r w:rsidR="00E7181A">
        <w:rPr>
          <w:rFonts w:ascii="Arial" w:eastAsia="Arial" w:hAnsi="Arial" w:cs="Arial"/>
          <w:color w:val="000000"/>
          <w:szCs w:val="22"/>
        </w:rPr>
        <w:t>.</w:t>
      </w:r>
      <w:r w:rsidR="008447CF" w:rsidRPr="008447CF">
        <w:rPr>
          <w:rFonts w:ascii="Arial" w:eastAsia="Arial" w:hAnsi="Arial" w:cs="Arial"/>
          <w:color w:val="000000"/>
          <w:szCs w:val="22"/>
        </w:rPr>
        <w:t>lgs</w:t>
      </w:r>
      <w:r w:rsidR="00E7181A">
        <w:rPr>
          <w:rFonts w:ascii="Arial" w:eastAsia="Arial" w:hAnsi="Arial" w:cs="Arial"/>
          <w:color w:val="000000"/>
          <w:szCs w:val="22"/>
        </w:rPr>
        <w:t>.</w:t>
      </w:r>
      <w:r w:rsidR="008447CF" w:rsidRPr="008447CF">
        <w:rPr>
          <w:rFonts w:ascii="Arial" w:eastAsia="Arial" w:hAnsi="Arial" w:cs="Arial"/>
          <w:color w:val="000000"/>
          <w:szCs w:val="22"/>
        </w:rPr>
        <w:t xml:space="preserve"> </w:t>
      </w:r>
      <w:r w:rsidR="008102EA">
        <w:rPr>
          <w:rFonts w:ascii="Arial" w:eastAsia="Arial" w:hAnsi="Arial" w:cs="Arial"/>
          <w:color w:val="000000"/>
          <w:szCs w:val="22"/>
        </w:rPr>
        <w:t>n.</w:t>
      </w:r>
      <w:r w:rsidR="008447CF" w:rsidRPr="008447CF">
        <w:rPr>
          <w:rFonts w:ascii="Arial" w:eastAsia="Arial" w:hAnsi="Arial" w:cs="Arial"/>
          <w:color w:val="000000"/>
          <w:szCs w:val="22"/>
        </w:rPr>
        <w:t>36/2023</w:t>
      </w:r>
      <w:r w:rsidR="008447CF">
        <w:rPr>
          <w:rFonts w:ascii="Arial" w:eastAsia="Arial" w:hAnsi="Arial" w:cs="Arial"/>
          <w:color w:val="000000"/>
          <w:szCs w:val="22"/>
        </w:rPr>
        <w:t xml:space="preserve"> </w:t>
      </w:r>
      <w:r w:rsidR="00BF0ED1">
        <w:rPr>
          <w:rFonts w:ascii="Arial" w:eastAsia="Arial" w:hAnsi="Arial" w:cs="Arial"/>
          <w:color w:val="000000"/>
          <w:szCs w:val="22"/>
        </w:rPr>
        <w:t xml:space="preserve">ed inserite nei principi contabili dal DM 10 ottobre 2024 (XVII° correttivo di Arconet). </w:t>
      </w:r>
    </w:p>
    <w:p w14:paraId="60F87F38" w14:textId="29F28AA1"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color w:val="auto"/>
          <w:szCs w:val="22"/>
        </w:rPr>
        <w:t xml:space="preserve"> che la re-imputazione degli impegni di spesa sia correlata con la costituzione del FPV da iscrivere in entrata nel bilancio di previsione 202</w:t>
      </w:r>
      <w:r w:rsidR="009C38AA">
        <w:rPr>
          <w:rFonts w:ascii="Arial" w:eastAsia="Arial" w:hAnsi="Arial" w:cs="Arial"/>
          <w:color w:val="auto"/>
          <w:szCs w:val="22"/>
        </w:rPr>
        <w:t>6</w:t>
      </w:r>
      <w:r w:rsidR="00AD7B50" w:rsidRPr="004B4CFE">
        <w:rPr>
          <w:rFonts w:ascii="Arial" w:eastAsia="Arial" w:hAnsi="Arial" w:cs="Arial"/>
          <w:color w:val="auto"/>
          <w:szCs w:val="22"/>
        </w:rPr>
        <w:t>-</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nonché con gli impegni pluriennali, al fine di:</w:t>
      </w:r>
    </w:p>
    <w:p w14:paraId="38356F0C" w14:textId="70861E34"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verificare la corretta elaborazione e gestione dei cronoprogrammi</w:t>
      </w:r>
      <w:r w:rsidR="00E76B91">
        <w:rPr>
          <w:rFonts w:ascii="Arial" w:eastAsia="Arial" w:hAnsi="Arial" w:cs="Arial"/>
          <w:color w:val="auto"/>
          <w:szCs w:val="22"/>
        </w:rPr>
        <w:t>;</w:t>
      </w:r>
    </w:p>
    <w:p w14:paraId="74F1E1D1" w14:textId="6441AA7F"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evidenziare i ritardi nella realizzazione delle spese di investimento per mancata osservanza del cronoprogramma</w:t>
      </w:r>
      <w:r w:rsidR="00E76B91">
        <w:rPr>
          <w:rFonts w:ascii="Arial" w:eastAsia="Arial" w:hAnsi="Arial" w:cs="Arial"/>
          <w:color w:val="auto"/>
          <w:szCs w:val="22"/>
        </w:rPr>
        <w:t>;</w:t>
      </w:r>
    </w:p>
    <w:p w14:paraId="5307CF2E" w14:textId="24C176B0" w:rsidR="000F434D" w:rsidRPr="00F56672" w:rsidRDefault="000F434D" w:rsidP="000F434D">
      <w:pPr>
        <w:pBdr>
          <w:top w:val="nil"/>
          <w:left w:val="nil"/>
          <w:bottom w:val="nil"/>
          <w:right w:val="nil"/>
          <w:between w:val="nil"/>
        </w:pBdr>
        <w:spacing w:line="240" w:lineRule="auto"/>
        <w:ind w:hanging="2"/>
        <w:rPr>
          <w:rFonts w:ascii="Arial" w:eastAsia="Arial" w:hAnsi="Arial" w:cs="Arial"/>
          <w:i/>
          <w:iCs/>
          <w:color w:val="00B0F0"/>
          <w:szCs w:val="22"/>
        </w:rPr>
      </w:pPr>
      <w:r w:rsidRPr="00F56672">
        <w:rPr>
          <w:rFonts w:ascii="Arial" w:eastAsia="Arial" w:hAnsi="Arial" w:cs="Arial"/>
          <w:i/>
          <w:iCs/>
          <w:color w:val="00B0F0"/>
          <w:szCs w:val="22"/>
        </w:rPr>
        <w:t>(In caso</w:t>
      </w:r>
      <w:r w:rsidR="00FD3FE5">
        <w:rPr>
          <w:rFonts w:ascii="Arial" w:eastAsia="Arial" w:hAnsi="Arial" w:cs="Arial"/>
          <w:i/>
          <w:iCs/>
          <w:color w:val="00B0F0"/>
          <w:szCs w:val="22"/>
        </w:rPr>
        <w:t xml:space="preserve"> di risposta</w:t>
      </w:r>
      <w:r w:rsidRPr="00F56672">
        <w:rPr>
          <w:rFonts w:ascii="Arial" w:eastAsia="Arial" w:hAnsi="Arial" w:cs="Arial"/>
          <w:i/>
          <w:iCs/>
          <w:color w:val="00B0F0"/>
          <w:szCs w:val="22"/>
        </w:rPr>
        <w:t xml:space="preserve"> negativ</w:t>
      </w:r>
      <w:r w:rsidR="00FD3FE5">
        <w:rPr>
          <w:rFonts w:ascii="Arial" w:eastAsia="Arial" w:hAnsi="Arial" w:cs="Arial"/>
          <w:i/>
          <w:iCs/>
          <w:color w:val="00B0F0"/>
          <w:szCs w:val="22"/>
        </w:rPr>
        <w:t>a</w:t>
      </w:r>
      <w:r w:rsidRPr="00F56672">
        <w:rPr>
          <w:rFonts w:ascii="Arial" w:eastAsia="Arial" w:hAnsi="Arial" w:cs="Arial"/>
          <w:i/>
          <w:iCs/>
          <w:color w:val="00B0F0"/>
          <w:szCs w:val="22"/>
        </w:rPr>
        <w:t xml:space="preserve"> fornire chiarimenti, specialmente nel caso di assenza di stanziamenti FPV)</w:t>
      </w:r>
    </w:p>
    <w:p w14:paraId="6DA3F226"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58D7EDC" w14:textId="69B8426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fonti di finanziamento del Fondo pluriennale vincolato iscritto nella parte entrata del bilancio per l’esercizio 202</w:t>
      </w:r>
      <w:r w:rsidR="009C38AA">
        <w:rPr>
          <w:rFonts w:ascii="Arial" w:eastAsia="Arial" w:hAnsi="Arial" w:cs="Arial"/>
          <w:color w:val="000000"/>
          <w:szCs w:val="22"/>
        </w:rPr>
        <w:t>6</w:t>
      </w:r>
      <w:r>
        <w:rPr>
          <w:rFonts w:ascii="Arial" w:eastAsia="Arial" w:hAnsi="Arial" w:cs="Arial"/>
          <w:color w:val="000000"/>
          <w:szCs w:val="22"/>
        </w:rPr>
        <w:t xml:space="preserve"> sono le seguenti:</w:t>
      </w:r>
    </w:p>
    <w:p w14:paraId="60489CD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826D833" w14:textId="3694E7B4" w:rsidR="000F434D" w:rsidRDefault="00135AF1" w:rsidP="00135AF1">
      <w:pPr>
        <w:pBdr>
          <w:top w:val="nil"/>
          <w:left w:val="nil"/>
          <w:bottom w:val="nil"/>
          <w:right w:val="nil"/>
          <w:between w:val="nil"/>
        </w:pBdr>
        <w:spacing w:before="120" w:after="60" w:line="240" w:lineRule="auto"/>
        <w:ind w:hanging="2"/>
        <w:jc w:val="center"/>
        <w:rPr>
          <w:rFonts w:ascii="Arial" w:eastAsia="Arial" w:hAnsi="Arial" w:cs="Arial"/>
          <w:color w:val="000000"/>
          <w:szCs w:val="22"/>
        </w:rPr>
      </w:pPr>
      <w:r w:rsidRPr="00135AF1">
        <w:rPr>
          <w:rFonts w:ascii="Arial" w:eastAsia="Arial" w:hAnsi="Arial" w:cs="Arial"/>
          <w:b/>
          <w:bCs/>
          <w:iCs/>
          <w:color w:val="000000"/>
          <w:szCs w:val="22"/>
        </w:rPr>
        <w:lastRenderedPageBreak/>
        <w:t xml:space="preserve">TABELLA </w:t>
      </w:r>
      <w:r w:rsidR="00423C19">
        <w:rPr>
          <w:rFonts w:ascii="Arial" w:eastAsia="Arial" w:hAnsi="Arial" w:cs="Arial"/>
          <w:b/>
          <w:bCs/>
          <w:iCs/>
          <w:color w:val="000000"/>
          <w:szCs w:val="22"/>
        </w:rPr>
        <w:t>5</w:t>
      </w:r>
    </w:p>
    <w:p w14:paraId="5540DE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34B76E2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anche mediante controlli a campione, i cronoprogrammi di spesa e che il FPV di spesa corrisponda al FPV di entrata dell’esercizio successivo.</w:t>
      </w:r>
    </w:p>
    <w:p w14:paraId="3363BC2D" w14:textId="28896679" w:rsidR="000F434D"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Si ricorda l’importanza della costituzione </w:t>
      </w:r>
      <w:r w:rsidR="00E1346A">
        <w:rPr>
          <w:rFonts w:ascii="Arial" w:eastAsia="Arial" w:hAnsi="Arial" w:cs="Arial"/>
          <w:b/>
          <w:bCs/>
          <w:i/>
          <w:color w:val="00B0F0"/>
          <w:szCs w:val="22"/>
        </w:rPr>
        <w:t xml:space="preserve">e conseguente valorizzazione </w:t>
      </w:r>
      <w:r w:rsidRPr="00F56672">
        <w:rPr>
          <w:rFonts w:ascii="Arial" w:eastAsia="Arial" w:hAnsi="Arial" w:cs="Arial"/>
          <w:b/>
          <w:bCs/>
          <w:i/>
          <w:color w:val="00B0F0"/>
          <w:szCs w:val="22"/>
        </w:rPr>
        <w:t xml:space="preserve">del FPV sin dal bilancio di </w:t>
      </w:r>
      <w:commentRangeStart w:id="23"/>
      <w:commentRangeStart w:id="24"/>
      <w:r w:rsidRPr="00F56672">
        <w:rPr>
          <w:rFonts w:ascii="Arial" w:eastAsia="Arial" w:hAnsi="Arial" w:cs="Arial"/>
          <w:b/>
          <w:bCs/>
          <w:i/>
          <w:color w:val="00B0F0"/>
          <w:szCs w:val="22"/>
        </w:rPr>
        <w:t>previsione</w:t>
      </w:r>
      <w:commentRangeEnd w:id="23"/>
      <w:r w:rsidR="00F11119" w:rsidRPr="00F56672">
        <w:rPr>
          <w:rStyle w:val="Rimandocommento"/>
          <w:rFonts w:ascii="Arial" w:eastAsia="Arial" w:hAnsi="Arial" w:cs="Arial"/>
          <w:b/>
          <w:bCs/>
          <w:i/>
          <w:color w:val="00B0F0"/>
          <w:sz w:val="22"/>
          <w:szCs w:val="22"/>
        </w:rPr>
        <w:commentReference w:id="23"/>
      </w:r>
      <w:commentRangeEnd w:id="24"/>
      <w:r w:rsidR="007E0239" w:rsidRPr="00F56672">
        <w:rPr>
          <w:rStyle w:val="Rimandocommento"/>
          <w:rFonts w:ascii="Arial" w:eastAsia="Arial" w:hAnsi="Arial" w:cs="Arial"/>
          <w:b/>
          <w:bCs/>
          <w:i/>
          <w:color w:val="00B0F0"/>
          <w:sz w:val="22"/>
          <w:szCs w:val="22"/>
        </w:rPr>
        <w:commentReference w:id="24"/>
      </w:r>
      <w:r w:rsidRPr="00F56672">
        <w:rPr>
          <w:rFonts w:ascii="Arial" w:eastAsia="Arial" w:hAnsi="Arial" w:cs="Arial"/>
          <w:b/>
          <w:bCs/>
          <w:i/>
          <w:color w:val="00B0F0"/>
          <w:szCs w:val="22"/>
        </w:rPr>
        <w:t>.</w:t>
      </w:r>
    </w:p>
    <w:p w14:paraId="5AFFE9FE" w14:textId="77777777" w:rsidR="00147D6D" w:rsidRPr="00F56672" w:rsidRDefault="00147D6D" w:rsidP="000F434D">
      <w:pPr>
        <w:pBdr>
          <w:top w:val="nil"/>
          <w:left w:val="nil"/>
          <w:bottom w:val="nil"/>
          <w:right w:val="nil"/>
          <w:between w:val="nil"/>
        </w:pBdr>
        <w:spacing w:line="240" w:lineRule="auto"/>
        <w:ind w:hanging="2"/>
        <w:rPr>
          <w:rFonts w:ascii="Arial" w:eastAsia="Arial" w:hAnsi="Arial" w:cs="Arial"/>
          <w:b/>
          <w:bCs/>
          <w:i/>
          <w:color w:val="00B0F0"/>
          <w:szCs w:val="22"/>
        </w:rPr>
      </w:pPr>
    </w:p>
    <w:p w14:paraId="1AEF6C72" w14:textId="62E09B2F" w:rsidR="000F434D" w:rsidRPr="00423C19"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5" w:name="_heading=h.39kk8xu" w:colFirst="0" w:colLast="0"/>
      <w:bookmarkStart w:id="26" w:name="_Toc219808164"/>
      <w:bookmarkEnd w:id="25"/>
      <w:r>
        <w:rPr>
          <w:rFonts w:ascii="Calibri" w:eastAsiaTheme="majorEastAsia" w:hAnsi="Calibri" w:cs="Times New Roman (Titoli CS)"/>
          <w:b/>
          <w:i/>
          <w:iCs/>
          <w:color w:val="C00000"/>
          <w:sz w:val="28"/>
          <w:szCs w:val="40"/>
        </w:rPr>
        <w:t>6.2</w:t>
      </w:r>
      <w:r w:rsidR="00AD7B50" w:rsidRPr="00423C19">
        <w:rPr>
          <w:rFonts w:ascii="Calibri" w:eastAsiaTheme="majorEastAsia" w:hAnsi="Calibri" w:cs="Times New Roman (Titoli CS)"/>
          <w:b/>
          <w:i/>
          <w:iCs/>
          <w:color w:val="C00000"/>
          <w:sz w:val="28"/>
          <w:szCs w:val="40"/>
        </w:rPr>
        <w:t xml:space="preserve"> </w:t>
      </w:r>
      <w:r w:rsidR="000F434D" w:rsidRPr="00423C19">
        <w:rPr>
          <w:rFonts w:ascii="Calibri" w:eastAsiaTheme="majorEastAsia" w:hAnsi="Calibri" w:cs="Times New Roman (Titoli CS)"/>
          <w:b/>
          <w:i/>
          <w:iCs/>
          <w:color w:val="C00000"/>
          <w:sz w:val="28"/>
          <w:szCs w:val="40"/>
        </w:rPr>
        <w:t>FAL – Fondo anticipazione liquidità</w:t>
      </w:r>
      <w:bookmarkEnd w:id="26"/>
    </w:p>
    <w:p w14:paraId="5E6B24DC" w14:textId="77777777" w:rsidR="000F434D" w:rsidRPr="004B4CFE" w:rsidRDefault="000F434D" w:rsidP="000F434D">
      <w:pPr>
        <w:widowControl w:val="0"/>
        <w:spacing w:line="256" w:lineRule="auto"/>
        <w:ind w:right="-1" w:hanging="2"/>
        <w:rPr>
          <w:rFonts w:ascii="Arial" w:eastAsia="Arial" w:hAnsi="Arial" w:cs="Arial"/>
          <w:color w:val="auto"/>
          <w:szCs w:val="22"/>
        </w:rPr>
      </w:pPr>
      <w:bookmarkStart w:id="27" w:name="_heading=h.dlrcwgae5sfi" w:colFirst="0" w:colLast="0"/>
      <w:bookmarkEnd w:id="27"/>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ha richiesto/non ha richiesto</w:t>
      </w:r>
      <w:r w:rsidRPr="004B4CFE">
        <w:rPr>
          <w:rFonts w:ascii="Arial" w:eastAsia="Arial" w:hAnsi="Arial" w:cs="Arial"/>
          <w:color w:val="auto"/>
          <w:szCs w:val="22"/>
        </w:rPr>
        <w:t xml:space="preserve"> anticipazioni di liquidità con restituzione entro ed oltre l’esercizio.  </w:t>
      </w:r>
    </w:p>
    <w:p w14:paraId="4F71F20C" w14:textId="7AE5B7C0" w:rsidR="000F434D" w:rsidRPr="004B4CFE" w:rsidRDefault="00423C19" w:rsidP="000F434D">
      <w:pPr>
        <w:widowControl w:val="0"/>
        <w:spacing w:line="256" w:lineRule="auto"/>
        <w:ind w:right="-1" w:hanging="2"/>
        <w:rPr>
          <w:rFonts w:ascii="Arial" w:eastAsia="Arial" w:hAnsi="Arial" w:cs="Arial"/>
          <w:color w:val="auto"/>
          <w:szCs w:val="22"/>
        </w:rPr>
      </w:pPr>
      <w:r w:rsidRPr="004B4CFE">
        <w:rPr>
          <w:rFonts w:ascii="Arial" w:eastAsia="Arial" w:hAnsi="Arial" w:cs="Arial"/>
          <w:i/>
          <w:color w:val="auto"/>
          <w:szCs w:val="22"/>
        </w:rPr>
        <w:t>(</w:t>
      </w:r>
      <w:r w:rsidR="000F434D" w:rsidRPr="004B4CFE">
        <w:rPr>
          <w:rFonts w:ascii="Arial" w:eastAsia="Arial" w:hAnsi="Arial" w:cs="Arial"/>
          <w:i/>
          <w:color w:val="auto"/>
          <w:szCs w:val="22"/>
        </w:rPr>
        <w:t>In caso di risposta affermativa fornire i dettagli</w:t>
      </w:r>
      <w:r w:rsidR="000F434D" w:rsidRPr="004B4CFE">
        <w:rPr>
          <w:rFonts w:ascii="Arial" w:eastAsia="Arial" w:hAnsi="Arial" w:cs="Arial"/>
          <w:color w:val="auto"/>
          <w:szCs w:val="22"/>
        </w:rPr>
        <w:t xml:space="preserve"> </w:t>
      </w:r>
      <w:r w:rsidR="000F434D" w:rsidRPr="004B4CFE">
        <w:rPr>
          <w:rFonts w:ascii="Arial" w:eastAsia="Arial" w:hAnsi="Arial" w:cs="Arial"/>
          <w:i/>
          <w:color w:val="auto"/>
          <w:szCs w:val="22"/>
        </w:rPr>
        <w:t>e precisare quanto segue</w:t>
      </w:r>
      <w:r w:rsidR="000F434D" w:rsidRPr="004B4CFE">
        <w:rPr>
          <w:rFonts w:ascii="Arial" w:eastAsia="Arial" w:hAnsi="Arial" w:cs="Arial"/>
          <w:color w:val="auto"/>
          <w:szCs w:val="22"/>
        </w:rPr>
        <w:t>:</w:t>
      </w:r>
    </w:p>
    <w:p w14:paraId="2D7BC00D" w14:textId="08CC9D31" w:rsidR="000F434D"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 xml:space="preserve">Le somme concesse </w:t>
      </w:r>
      <w:r w:rsidRPr="004B4CFE">
        <w:rPr>
          <w:rFonts w:ascii="Arial" w:eastAsia="Arial" w:hAnsi="Arial" w:cs="Arial"/>
          <w:b/>
          <w:bCs/>
          <w:iCs/>
          <w:color w:val="auto"/>
          <w:szCs w:val="22"/>
        </w:rPr>
        <w:t>sono state destinate/non sono state destinate</w:t>
      </w:r>
      <w:r w:rsidRPr="004B4CFE">
        <w:rPr>
          <w:rFonts w:ascii="Arial" w:eastAsia="Arial" w:hAnsi="Arial" w:cs="Arial"/>
          <w:iCs/>
          <w:color w:val="auto"/>
          <w:szCs w:val="22"/>
        </w:rPr>
        <w:t xml:space="preserve"> al pagamento di debiti certi, liquidi ed esigibili, maturati alla data del </w:t>
      </w:r>
      <w:r w:rsidR="005633BA" w:rsidRPr="004B4CFE">
        <w:rPr>
          <w:rFonts w:ascii="Arial" w:eastAsia="Arial" w:hAnsi="Arial" w:cs="Arial"/>
          <w:iCs/>
          <w:color w:val="auto"/>
          <w:szCs w:val="22"/>
        </w:rPr>
        <w:t>_____</w:t>
      </w:r>
      <w:r w:rsidRPr="004B4CFE">
        <w:rPr>
          <w:rFonts w:ascii="Arial" w:eastAsia="Arial" w:hAnsi="Arial" w:cs="Arial"/>
          <w:iCs/>
          <w:color w:val="auto"/>
          <w:szCs w:val="22"/>
        </w:rPr>
        <w:t>, relativi a somministrazioni, forniture, appalti e ad obbligazioni per prestazioni professionali.</w:t>
      </w:r>
      <w:r w:rsidR="00423C19" w:rsidRPr="004B4CFE">
        <w:rPr>
          <w:rFonts w:ascii="Arial" w:eastAsia="Arial" w:hAnsi="Arial" w:cs="Arial"/>
          <w:iCs/>
          <w:color w:val="auto"/>
          <w:szCs w:val="22"/>
        </w:rPr>
        <w:t>)</w:t>
      </w:r>
    </w:p>
    <w:p w14:paraId="14FFEE8B" w14:textId="77777777" w:rsidR="00A21157" w:rsidRPr="004B4CFE" w:rsidRDefault="00A21157" w:rsidP="00A21157">
      <w:pPr>
        <w:widowControl w:val="0"/>
        <w:spacing w:line="256" w:lineRule="auto"/>
        <w:ind w:right="-1" w:hanging="2"/>
        <w:rPr>
          <w:rFonts w:ascii="Arial" w:eastAsia="Arial" w:hAnsi="Arial" w:cs="Arial"/>
          <w:b/>
          <w:color w:val="auto"/>
          <w:szCs w:val="22"/>
        </w:rPr>
      </w:pPr>
      <w:r w:rsidRPr="004B4CFE">
        <w:rPr>
          <w:rFonts w:ascii="Arial" w:eastAsia="Arial" w:hAnsi="Arial" w:cs="Arial"/>
          <w:color w:val="auto"/>
          <w:szCs w:val="22"/>
        </w:rPr>
        <w:t xml:space="preserve">Con le suddette anticipazioni, </w:t>
      </w:r>
      <w:r w:rsidRPr="004B4CFE">
        <w:rPr>
          <w:rFonts w:ascii="Arial" w:eastAsia="Arial" w:hAnsi="Arial" w:cs="Arial"/>
          <w:b/>
          <w:color w:val="auto"/>
          <w:szCs w:val="22"/>
        </w:rPr>
        <w:t>sono stati finanziati/non sono stati finanziati debiti fuori bilancio,</w:t>
      </w:r>
      <w:r w:rsidRPr="004B4CFE">
        <w:rPr>
          <w:rFonts w:ascii="Arial" w:eastAsia="Arial" w:hAnsi="Arial" w:cs="Arial"/>
          <w:color w:val="auto"/>
          <w:szCs w:val="22"/>
        </w:rPr>
        <w:t xml:space="preserve"> preventivamente riconosciuti.</w:t>
      </w:r>
    </w:p>
    <w:p w14:paraId="701240E1" w14:textId="77777777" w:rsidR="005633BA"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L’</w:t>
      </w:r>
      <w:r w:rsidR="005633BA" w:rsidRPr="004B4CFE">
        <w:rPr>
          <w:rFonts w:ascii="Arial" w:eastAsia="Arial" w:hAnsi="Arial" w:cs="Arial"/>
          <w:iCs/>
          <w:color w:val="auto"/>
          <w:szCs w:val="22"/>
        </w:rPr>
        <w:t>Organo di revisione ha verificato che:</w:t>
      </w:r>
    </w:p>
    <w:p w14:paraId="762CA298" w14:textId="29362D4A" w:rsidR="005633BA" w:rsidRDefault="005633BA" w:rsidP="005633BA">
      <w:pPr>
        <w:widowControl w:val="0"/>
        <w:spacing w:line="256" w:lineRule="auto"/>
        <w:ind w:right="-1" w:hanging="2"/>
        <w:rPr>
          <w:rFonts w:ascii="Arial" w:eastAsia="Arial" w:hAnsi="Arial" w:cs="Arial"/>
          <w:i/>
          <w:color w:val="00B0F0"/>
          <w:szCs w:val="22"/>
        </w:rPr>
      </w:pPr>
      <w:r w:rsidRPr="004B4CFE">
        <w:rPr>
          <w:rFonts w:ascii="Arial" w:eastAsia="Arial" w:hAnsi="Arial" w:cs="Arial"/>
          <w:iCs/>
          <w:color w:val="auto"/>
          <w:szCs w:val="22"/>
        </w:rPr>
        <w:t xml:space="preserve">- </w:t>
      </w:r>
      <w:r w:rsidRPr="004B4CFE">
        <w:rPr>
          <w:rFonts w:ascii="Arial" w:eastAsia="Arial" w:hAnsi="Arial" w:cs="Arial"/>
          <w:color w:val="auto"/>
          <w:szCs w:val="22"/>
        </w:rPr>
        <w:t>l’Ente,</w:t>
      </w:r>
      <w:r w:rsidR="00423C19" w:rsidRPr="004B4CFE">
        <w:rPr>
          <w:rFonts w:ascii="Arial" w:eastAsia="Arial" w:hAnsi="Arial" w:cs="Arial"/>
          <w:color w:val="auto"/>
          <w:szCs w:val="22"/>
        </w:rPr>
        <w:t xml:space="preserve"> </w:t>
      </w:r>
      <w:r w:rsidRPr="004B4CFE">
        <w:rPr>
          <w:rFonts w:ascii="Arial" w:eastAsia="Arial" w:hAnsi="Arial" w:cs="Arial"/>
          <w:color w:val="auto"/>
          <w:szCs w:val="22"/>
        </w:rPr>
        <w:t>nel bilancio di previsione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w:t>
      </w:r>
      <w:r w:rsidR="008447CF" w:rsidRPr="004B4CFE">
        <w:rPr>
          <w:rFonts w:ascii="Arial" w:eastAsia="Arial" w:hAnsi="Arial" w:cs="Arial"/>
          <w:color w:val="auto"/>
          <w:szCs w:val="22"/>
        </w:rPr>
        <w:t xml:space="preserve"> </w:t>
      </w:r>
      <w:r w:rsidRPr="004B4CFE">
        <w:rPr>
          <w:rFonts w:ascii="Arial" w:eastAsia="Arial" w:hAnsi="Arial" w:cs="Arial"/>
          <w:b/>
          <w:bCs/>
          <w:color w:val="auto"/>
          <w:szCs w:val="22"/>
        </w:rPr>
        <w:t>ha rispettato</w:t>
      </w:r>
      <w:r w:rsidR="006E433B" w:rsidRPr="004B4CFE">
        <w:rPr>
          <w:rFonts w:ascii="Arial" w:eastAsia="Arial" w:hAnsi="Arial" w:cs="Arial"/>
          <w:b/>
          <w:bCs/>
          <w:color w:val="auto"/>
          <w:szCs w:val="22"/>
        </w:rPr>
        <w:t>/non ha rispettato</w:t>
      </w:r>
      <w:r w:rsidRPr="004B4CFE">
        <w:rPr>
          <w:rFonts w:ascii="Arial" w:eastAsia="Arial" w:hAnsi="Arial" w:cs="Arial"/>
          <w:color w:val="auto"/>
          <w:szCs w:val="22"/>
        </w:rPr>
        <w:t xml:space="preserve"> le disposizioni di cui all'art. 52, co.1-bis, </w:t>
      </w:r>
      <w:r w:rsidR="00E76B91">
        <w:rPr>
          <w:rFonts w:ascii="Arial" w:eastAsia="Arial" w:hAnsi="Arial" w:cs="Arial"/>
          <w:color w:val="auto"/>
          <w:szCs w:val="22"/>
        </w:rPr>
        <w:t>D</w:t>
      </w:r>
      <w:r w:rsidRPr="004B4CFE">
        <w:rPr>
          <w:rFonts w:ascii="Arial" w:eastAsia="Arial" w:hAnsi="Arial" w:cs="Arial"/>
          <w:color w:val="auto"/>
          <w:szCs w:val="22"/>
        </w:rPr>
        <w:t>.l.n.73/2021,</w:t>
      </w:r>
      <w:r w:rsidR="00C35E20" w:rsidRPr="004B4CFE">
        <w:rPr>
          <w:rFonts w:ascii="Arial" w:eastAsia="Arial" w:hAnsi="Arial" w:cs="Arial"/>
          <w:color w:val="auto"/>
          <w:szCs w:val="22"/>
        </w:rPr>
        <w:t xml:space="preserve"> </w:t>
      </w:r>
      <w:r w:rsidRPr="004B4CFE">
        <w:rPr>
          <w:rFonts w:ascii="Arial" w:eastAsia="Arial" w:hAnsi="Arial" w:cs="Arial"/>
          <w:color w:val="auto"/>
          <w:szCs w:val="22"/>
        </w:rPr>
        <w:t>conv.</w:t>
      </w:r>
      <w:r w:rsidR="00C35E20" w:rsidRPr="004B4CFE">
        <w:rPr>
          <w:rFonts w:ascii="Arial" w:eastAsia="Arial" w:hAnsi="Arial" w:cs="Arial"/>
          <w:color w:val="auto"/>
          <w:szCs w:val="22"/>
        </w:rPr>
        <w:t xml:space="preserve"> </w:t>
      </w:r>
      <w:r w:rsidRPr="004B4CFE">
        <w:rPr>
          <w:rFonts w:ascii="Arial" w:eastAsia="Arial" w:hAnsi="Arial" w:cs="Arial"/>
          <w:color w:val="auto"/>
          <w:szCs w:val="22"/>
        </w:rPr>
        <w:t xml:space="preserve">nella </w:t>
      </w:r>
      <w:r w:rsidR="00E76B91">
        <w:rPr>
          <w:rFonts w:ascii="Arial" w:eastAsia="Arial" w:hAnsi="Arial" w:cs="Arial"/>
          <w:color w:val="auto"/>
          <w:szCs w:val="22"/>
        </w:rPr>
        <w:t>L.</w:t>
      </w:r>
      <w:r w:rsidRPr="004B4CFE">
        <w:rPr>
          <w:rFonts w:ascii="Arial" w:eastAsia="Arial" w:hAnsi="Arial" w:cs="Arial"/>
          <w:color w:val="auto"/>
          <w:szCs w:val="22"/>
        </w:rPr>
        <w:t xml:space="preserve"> n. 106/2021, per il ripiano delle quote dell'eventuale disavanzo derivante dal riappostamento del FA</w:t>
      </w:r>
      <w:r w:rsidR="00D12016" w:rsidRPr="004B4CFE">
        <w:rPr>
          <w:rFonts w:ascii="Arial" w:eastAsia="Arial" w:hAnsi="Arial" w:cs="Arial"/>
          <w:color w:val="auto"/>
          <w:szCs w:val="22"/>
        </w:rPr>
        <w:t>L</w:t>
      </w:r>
      <w:r w:rsidR="004B4CFE">
        <w:rPr>
          <w:rFonts w:ascii="Arial" w:eastAsia="Arial" w:hAnsi="Arial" w:cs="Arial"/>
          <w:color w:val="auto"/>
          <w:szCs w:val="22"/>
        </w:rPr>
        <w:t>.</w:t>
      </w:r>
      <w:r>
        <w:rPr>
          <w:rFonts w:ascii="Arial" w:eastAsia="Arial" w:hAnsi="Arial" w:cs="Arial"/>
          <w:iCs/>
          <w:color w:val="00B0F0"/>
          <w:szCs w:val="22"/>
        </w:rPr>
        <w:t xml:space="preserve"> (</w:t>
      </w:r>
      <w:r w:rsidRPr="009317B9">
        <w:rPr>
          <w:rFonts w:ascii="Arial" w:eastAsia="Arial" w:hAnsi="Arial" w:cs="Arial"/>
          <w:i/>
          <w:color w:val="00B0F0"/>
          <w:szCs w:val="22"/>
        </w:rPr>
        <w:t>In caso di risposta negativa, fornire spiegazioni………..)</w:t>
      </w:r>
    </w:p>
    <w:p w14:paraId="0412494B" w14:textId="1E74478D" w:rsidR="005633BA" w:rsidRPr="00423C19" w:rsidRDefault="005633BA" w:rsidP="00423C19">
      <w:pPr>
        <w:ind w:right="-1" w:hanging="2"/>
        <w:rPr>
          <w:rFonts w:ascii="Arial" w:eastAsia="Arial" w:hAnsi="Arial" w:cs="Arial"/>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rispettato</w:t>
      </w:r>
      <w:r w:rsidR="00A21157" w:rsidRPr="00423C19">
        <w:rPr>
          <w:rFonts w:ascii="Arial" w:eastAsia="Arial" w:hAnsi="Arial" w:cs="Arial"/>
          <w:b/>
          <w:bCs/>
          <w:iCs/>
          <w:color w:val="auto"/>
          <w:szCs w:val="22"/>
        </w:rPr>
        <w:t>/non ha rispettato</w:t>
      </w:r>
      <w:r w:rsidRPr="00423C19">
        <w:rPr>
          <w:rFonts w:ascii="Arial" w:eastAsia="Arial" w:hAnsi="Arial" w:cs="Arial"/>
          <w:iCs/>
          <w:color w:val="auto"/>
          <w:szCs w:val="22"/>
        </w:rPr>
        <w:t xml:space="preserve"> nel bilancio di previsione 202</w:t>
      </w:r>
      <w:r w:rsidR="009C38AA">
        <w:rPr>
          <w:rFonts w:ascii="Arial" w:eastAsia="Arial" w:hAnsi="Arial" w:cs="Arial"/>
          <w:iCs/>
          <w:color w:val="auto"/>
          <w:szCs w:val="22"/>
        </w:rPr>
        <w:t>6</w:t>
      </w:r>
      <w:r w:rsidRPr="00423C19">
        <w:rPr>
          <w:rFonts w:ascii="Arial" w:eastAsia="Arial" w:hAnsi="Arial" w:cs="Arial"/>
          <w:iCs/>
          <w:color w:val="auto"/>
          <w:szCs w:val="22"/>
        </w:rPr>
        <w:t>-202</w:t>
      </w:r>
      <w:r w:rsidR="009C38AA">
        <w:rPr>
          <w:rFonts w:ascii="Arial" w:eastAsia="Arial" w:hAnsi="Arial" w:cs="Arial"/>
          <w:iCs/>
          <w:color w:val="auto"/>
          <w:szCs w:val="22"/>
        </w:rPr>
        <w:t>8</w:t>
      </w:r>
      <w:r w:rsidRPr="00423C19">
        <w:rPr>
          <w:rFonts w:ascii="Arial" w:eastAsia="Arial" w:hAnsi="Arial" w:cs="Arial"/>
          <w:iCs/>
          <w:color w:val="auto"/>
          <w:szCs w:val="22"/>
        </w:rPr>
        <w:t xml:space="preserve">, le disposizioni di cui all’art.52, co.1-ter, </w:t>
      </w:r>
      <w:r w:rsidR="00E76B91">
        <w:rPr>
          <w:rFonts w:ascii="Arial" w:eastAsia="Arial" w:hAnsi="Arial" w:cs="Arial"/>
          <w:iCs/>
          <w:color w:val="auto"/>
          <w:szCs w:val="22"/>
        </w:rPr>
        <w:t>D</w:t>
      </w:r>
      <w:r w:rsidRPr="00423C19">
        <w:rPr>
          <w:rFonts w:ascii="Arial" w:eastAsia="Arial" w:hAnsi="Arial" w:cs="Arial"/>
          <w:iCs/>
          <w:color w:val="auto"/>
          <w:szCs w:val="22"/>
        </w:rPr>
        <w:t>.l.n.73/2021,</w:t>
      </w:r>
      <w:r w:rsidR="00C35E20">
        <w:rPr>
          <w:rFonts w:ascii="Arial" w:eastAsia="Arial" w:hAnsi="Arial" w:cs="Arial"/>
          <w:iCs/>
          <w:color w:val="auto"/>
          <w:szCs w:val="22"/>
        </w:rPr>
        <w:t xml:space="preserve"> </w:t>
      </w:r>
      <w:r w:rsidRPr="00423C19">
        <w:rPr>
          <w:rFonts w:ascii="Arial" w:eastAsia="Arial" w:hAnsi="Arial" w:cs="Arial"/>
          <w:iCs/>
          <w:color w:val="auto"/>
          <w:szCs w:val="22"/>
        </w:rPr>
        <w:t>conv.</w:t>
      </w:r>
      <w:r w:rsidR="00E76B91">
        <w:rPr>
          <w:rFonts w:ascii="Arial" w:eastAsia="Arial" w:hAnsi="Arial" w:cs="Arial"/>
          <w:iCs/>
          <w:color w:val="auto"/>
          <w:szCs w:val="22"/>
        </w:rPr>
        <w:t xml:space="preserve"> </w:t>
      </w:r>
      <w:r w:rsidRPr="00423C19">
        <w:rPr>
          <w:rFonts w:ascii="Arial" w:eastAsia="Arial" w:hAnsi="Arial" w:cs="Arial"/>
          <w:iCs/>
          <w:color w:val="auto"/>
          <w:szCs w:val="22"/>
        </w:rPr>
        <w:t xml:space="preserve">nella </w:t>
      </w:r>
      <w:r w:rsidR="00E76B91">
        <w:rPr>
          <w:rFonts w:ascii="Arial" w:eastAsia="Arial" w:hAnsi="Arial" w:cs="Arial"/>
          <w:iCs/>
          <w:color w:val="auto"/>
          <w:szCs w:val="22"/>
        </w:rPr>
        <w:t>L</w:t>
      </w:r>
      <w:r w:rsidRPr="00423C19">
        <w:rPr>
          <w:rFonts w:ascii="Arial" w:eastAsia="Arial" w:hAnsi="Arial" w:cs="Arial"/>
          <w:iCs/>
          <w:color w:val="auto"/>
          <w:szCs w:val="22"/>
        </w:rPr>
        <w:t>. 106/2021, in relazione alle modalità di contabilizzazione del FAL</w:t>
      </w:r>
      <w:r w:rsidR="00A21157" w:rsidRPr="00423C19">
        <w:rPr>
          <w:rFonts w:ascii="Arial" w:eastAsia="Arial" w:hAnsi="Arial" w:cs="Arial"/>
          <w:iCs/>
          <w:color w:val="auto"/>
          <w:szCs w:val="22"/>
        </w:rPr>
        <w:t xml:space="preserve"> e </w:t>
      </w:r>
      <w:r w:rsidR="00A21157" w:rsidRPr="00423C19">
        <w:rPr>
          <w:rFonts w:ascii="Arial" w:eastAsia="Arial" w:hAnsi="Arial" w:cs="Arial"/>
          <w:b/>
          <w:bCs/>
          <w:iCs/>
          <w:color w:val="auto"/>
          <w:szCs w:val="22"/>
        </w:rPr>
        <w:t>ha stanziato/non ha stanziato</w:t>
      </w:r>
      <w:r w:rsidR="00A21157" w:rsidRPr="00423C19">
        <w:rPr>
          <w:rFonts w:ascii="Arial" w:eastAsia="Arial" w:hAnsi="Arial" w:cs="Arial"/>
          <w:iCs/>
          <w:color w:val="auto"/>
          <w:szCs w:val="22"/>
        </w:rPr>
        <w:t xml:space="preserve"> </w:t>
      </w:r>
      <w:r w:rsidR="00A21157" w:rsidRPr="00423C19">
        <w:rPr>
          <w:rFonts w:ascii="Arial" w:eastAsia="Arial" w:hAnsi="Arial" w:cs="Arial"/>
          <w:color w:val="auto"/>
          <w:szCs w:val="22"/>
        </w:rPr>
        <w:t>nel titolo 4 di spesa l’importo della rate di ammortamento del FAL</w:t>
      </w:r>
      <w:r>
        <w:rPr>
          <w:rFonts w:ascii="Arial" w:eastAsia="Arial" w:hAnsi="Arial" w:cs="Arial"/>
          <w:iCs/>
          <w:color w:val="00B0F0"/>
          <w:szCs w:val="22"/>
        </w:rPr>
        <w:t>; (</w:t>
      </w:r>
      <w:r w:rsidRPr="009317B9">
        <w:rPr>
          <w:rFonts w:ascii="Arial" w:eastAsia="Arial" w:hAnsi="Arial" w:cs="Arial"/>
          <w:i/>
          <w:color w:val="00B0F0"/>
          <w:szCs w:val="22"/>
        </w:rPr>
        <w:t>In caso di risposta negativa, fornire spiegazioni………..)</w:t>
      </w:r>
    </w:p>
    <w:p w14:paraId="0969BD01" w14:textId="59BD99D4" w:rsidR="000F434D" w:rsidRPr="00423C19" w:rsidRDefault="006E433B" w:rsidP="00423C19">
      <w:pPr>
        <w:widowControl w:val="0"/>
        <w:spacing w:line="256" w:lineRule="auto"/>
        <w:ind w:left="-2" w:right="-1"/>
        <w:rPr>
          <w:rFonts w:ascii="Arial" w:eastAsia="Arial" w:hAnsi="Arial" w:cs="Arial"/>
          <w:color w:val="auto"/>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iscritto</w:t>
      </w:r>
      <w:r w:rsidR="007F69A8" w:rsidRPr="00423C19">
        <w:rPr>
          <w:rFonts w:ascii="Arial" w:eastAsia="Arial" w:hAnsi="Arial" w:cs="Arial"/>
          <w:b/>
          <w:bCs/>
          <w:iCs/>
          <w:color w:val="auto"/>
          <w:szCs w:val="22"/>
        </w:rPr>
        <w:t>/non ha iscritto</w:t>
      </w:r>
      <w:r w:rsidRPr="00423C19">
        <w:rPr>
          <w:rFonts w:ascii="Arial" w:eastAsia="Arial" w:hAnsi="Arial" w:cs="Arial"/>
          <w:iCs/>
          <w:color w:val="auto"/>
          <w:szCs w:val="22"/>
        </w:rPr>
        <w:t xml:space="preserve"> nell’entrata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bilancio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risorse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liberate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seguito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della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riduzione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FAL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nell’apposita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voce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denominata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"Utilizzo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fondo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anticipazioni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liquidità"</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consente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agli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enti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in</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disavanzo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poter</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applicare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queste somme, in deroga ai cc. 897-898 della legge n. 145/2018)</w:t>
      </w:r>
      <w:r w:rsidR="007F69A8" w:rsidRPr="00423C19">
        <w:rPr>
          <w:rFonts w:ascii="Arial" w:eastAsia="Arial" w:hAnsi="Arial" w:cs="Arial"/>
          <w:iCs/>
          <w:color w:val="auto"/>
          <w:szCs w:val="22"/>
        </w:rPr>
        <w:t>;</w:t>
      </w:r>
    </w:p>
    <w:p w14:paraId="57EF636A" w14:textId="6E5D973C" w:rsidR="000F434D" w:rsidRPr="004B4CFE" w:rsidRDefault="007F69A8" w:rsidP="000F434D">
      <w:pPr>
        <w:ind w:right="-1" w:hanging="2"/>
        <w:rPr>
          <w:rFonts w:ascii="Arial" w:eastAsia="Arial" w:hAnsi="Arial" w:cs="Arial"/>
          <w:color w:val="auto"/>
          <w:szCs w:val="22"/>
        </w:rPr>
      </w:pPr>
      <w:r w:rsidRPr="004B4CFE">
        <w:rPr>
          <w:rFonts w:ascii="Arial" w:eastAsia="Arial" w:hAnsi="Arial" w:cs="Arial"/>
          <w:color w:val="auto"/>
          <w:szCs w:val="22"/>
        </w:rPr>
        <w:t>L’Organo di revisione ha verificato che n</w:t>
      </w:r>
      <w:r w:rsidR="000F434D" w:rsidRPr="004B4CFE">
        <w:rPr>
          <w:rFonts w:ascii="Arial" w:eastAsia="Arial" w:hAnsi="Arial" w:cs="Arial"/>
          <w:color w:val="auto"/>
          <w:szCs w:val="22"/>
        </w:rPr>
        <w:t xml:space="preserve">ella Nota integrativa allegata al bilancio di previsione </w:t>
      </w:r>
      <w:r w:rsidRPr="004B4CFE">
        <w:rPr>
          <w:rFonts w:ascii="Arial" w:eastAsia="Arial" w:hAnsi="Arial" w:cs="Arial"/>
          <w:color w:val="auto"/>
          <w:szCs w:val="22"/>
        </w:rPr>
        <w:t>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w:t>
      </w:r>
      <w:r w:rsidR="000F434D" w:rsidRPr="004B4CFE">
        <w:rPr>
          <w:rFonts w:ascii="Arial" w:eastAsia="Arial" w:hAnsi="Arial" w:cs="Arial"/>
          <w:b/>
          <w:bCs/>
          <w:color w:val="auto"/>
          <w:szCs w:val="22"/>
        </w:rPr>
        <w:t>è stata data</w:t>
      </w:r>
      <w:r w:rsidR="00E76B91">
        <w:rPr>
          <w:rFonts w:ascii="Arial" w:eastAsia="Arial" w:hAnsi="Arial" w:cs="Arial"/>
          <w:b/>
          <w:bCs/>
          <w:color w:val="auto"/>
          <w:szCs w:val="22"/>
        </w:rPr>
        <w:t xml:space="preserve"> evidenza</w:t>
      </w:r>
      <w:r w:rsidR="000F434D" w:rsidRPr="004B4CFE">
        <w:rPr>
          <w:rFonts w:ascii="Arial" w:eastAsia="Arial" w:hAnsi="Arial" w:cs="Arial"/>
          <w:b/>
          <w:bCs/>
          <w:color w:val="auto"/>
          <w:szCs w:val="22"/>
        </w:rPr>
        <w:t>/non è stata data evidenza</w:t>
      </w:r>
      <w:r w:rsidR="000F434D" w:rsidRPr="004B4CFE">
        <w:rPr>
          <w:rFonts w:ascii="Arial" w:eastAsia="Arial" w:hAnsi="Arial" w:cs="Arial"/>
          <w:color w:val="auto"/>
          <w:szCs w:val="22"/>
        </w:rPr>
        <w:t xml:space="preserve"> dell</w:t>
      </w:r>
      <w:r w:rsidRPr="004B4CFE">
        <w:rPr>
          <w:rFonts w:ascii="Arial" w:eastAsia="Arial" w:hAnsi="Arial" w:cs="Arial"/>
          <w:color w:val="auto"/>
          <w:szCs w:val="22"/>
        </w:rPr>
        <w:t>e modalità di</w:t>
      </w:r>
      <w:r w:rsidR="000F434D" w:rsidRPr="004B4CFE">
        <w:rPr>
          <w:rFonts w:ascii="Arial" w:eastAsia="Arial" w:hAnsi="Arial" w:cs="Arial"/>
          <w:color w:val="auto"/>
          <w:szCs w:val="22"/>
        </w:rPr>
        <w:t xml:space="preserve"> copertura delle spese </w:t>
      </w:r>
      <w:r w:rsidRPr="004B4CFE">
        <w:rPr>
          <w:rFonts w:ascii="Arial" w:eastAsia="Arial" w:hAnsi="Arial" w:cs="Arial"/>
          <w:color w:val="auto"/>
          <w:szCs w:val="22"/>
        </w:rPr>
        <w:t>per il rimborso della quota di capitale dell’anticipazione</w:t>
      </w:r>
      <w:r w:rsidR="000F434D" w:rsidRPr="004B4CFE">
        <w:rPr>
          <w:rFonts w:ascii="Arial" w:eastAsia="Arial" w:hAnsi="Arial" w:cs="Arial"/>
          <w:color w:val="auto"/>
          <w:szCs w:val="22"/>
        </w:rPr>
        <w:t>, e precisamente:</w:t>
      </w:r>
    </w:p>
    <w:p w14:paraId="15C5BD8A" w14:textId="77777777"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p>
    <w:p w14:paraId="054653E3" w14:textId="0285E9D4"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r w:rsidR="00E7181A" w:rsidRPr="004B4CFE">
        <w:rPr>
          <w:rFonts w:ascii="Arial" w:eastAsia="Arial" w:hAnsi="Arial" w:cs="Arial"/>
          <w:color w:val="auto"/>
          <w:szCs w:val="22"/>
        </w:rPr>
        <w:t>.</w:t>
      </w:r>
    </w:p>
    <w:p w14:paraId="57D0E60A" w14:textId="77777777" w:rsidR="00E76B91" w:rsidRDefault="00E76B91" w:rsidP="000F434D">
      <w:pPr>
        <w:widowControl w:val="0"/>
        <w:spacing w:line="256" w:lineRule="auto"/>
        <w:ind w:right="-1" w:hanging="2"/>
        <w:rPr>
          <w:rFonts w:ascii="Arial" w:eastAsia="Arial" w:hAnsi="Arial" w:cs="Arial"/>
          <w:b/>
          <w:bCs/>
          <w:i/>
          <w:color w:val="00B0F0"/>
          <w:szCs w:val="22"/>
        </w:rPr>
      </w:pPr>
    </w:p>
    <w:p w14:paraId="66F6F38A" w14:textId="0D0A1B95" w:rsidR="000F434D" w:rsidRPr="00F56672" w:rsidRDefault="000F434D" w:rsidP="000F434D">
      <w:pPr>
        <w:widowControl w:val="0"/>
        <w:spacing w:line="256" w:lineRule="auto"/>
        <w:ind w:right="-1" w:hanging="2"/>
        <w:rPr>
          <w:rFonts w:ascii="Arial" w:eastAsia="Arial" w:hAnsi="Arial" w:cs="Arial"/>
          <w:b/>
          <w:bCs/>
          <w:i/>
          <w:color w:val="00B0F0"/>
          <w:szCs w:val="22"/>
        </w:rPr>
      </w:pPr>
      <w:r w:rsidRPr="00324115">
        <w:rPr>
          <w:rFonts w:ascii="Arial" w:eastAsia="Arial" w:hAnsi="Arial" w:cs="Arial"/>
          <w:b/>
          <w:bCs/>
          <w:i/>
          <w:color w:val="00B0F0"/>
          <w:szCs w:val="22"/>
        </w:rPr>
        <w:t>N.B</w:t>
      </w:r>
      <w:r>
        <w:rPr>
          <w:rFonts w:ascii="Arial" w:eastAsia="Arial" w:hAnsi="Arial" w:cs="Arial"/>
          <w:b/>
          <w:bCs/>
          <w:i/>
          <w:color w:val="00B0F0"/>
          <w:szCs w:val="22"/>
        </w:rPr>
        <w:t xml:space="preserve">. </w:t>
      </w:r>
      <w:r w:rsidRPr="00324115">
        <w:rPr>
          <w:rFonts w:ascii="Arial" w:eastAsia="Arial" w:hAnsi="Arial" w:cs="Arial"/>
          <w:b/>
          <w:bCs/>
          <w:i/>
          <w:color w:val="00B0F0"/>
          <w:szCs w:val="22"/>
        </w:rPr>
        <w:t xml:space="preserve">Si precisa che non possono essere finanziate dalla quota di avanzo accantonato “utilizzo del Fondo anticipazioni di liquidità” e/o dal Fondo anticipazioni liquidità </w:t>
      </w:r>
      <w:r w:rsidRPr="00324115">
        <w:rPr>
          <w:rFonts w:ascii="Arial" w:eastAsia="Arial" w:hAnsi="Arial" w:cs="Arial"/>
          <w:b/>
          <w:bCs/>
          <w:i/>
          <w:color w:val="00B0F0"/>
          <w:szCs w:val="22"/>
        </w:rPr>
        <w:lastRenderedPageBreak/>
        <w:t>stesso.</w:t>
      </w:r>
    </w:p>
    <w:p w14:paraId="00067AF4" w14:textId="77777777" w:rsidR="005D67FF" w:rsidRPr="004B4CFE" w:rsidRDefault="00423C19"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5D67FF" w:rsidRPr="004B4CFE">
        <w:rPr>
          <w:rFonts w:ascii="Arial" w:eastAsia="Arial" w:hAnsi="Arial" w:cs="Arial"/>
          <w:color w:val="auto"/>
          <w:szCs w:val="22"/>
        </w:rPr>
        <w:t>:</w:t>
      </w:r>
    </w:p>
    <w:p w14:paraId="6B51A528" w14:textId="15967CC6" w:rsidR="005D67FF" w:rsidRPr="004B4CFE" w:rsidRDefault="005D67FF" w:rsidP="005D67FF">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r w:rsidR="00423C19" w:rsidRPr="004B4CFE">
        <w:rPr>
          <w:rFonts w:ascii="Arial" w:eastAsia="Arial" w:hAnsi="Arial" w:cs="Arial"/>
          <w:color w:val="auto"/>
          <w:szCs w:val="22"/>
        </w:rPr>
        <w:t xml:space="preserve"> l’Ente ha beneficiato nel 2021 per un importo pari a </w:t>
      </w:r>
      <w:r w:rsidR="00160626" w:rsidRPr="004B4CFE">
        <w:rPr>
          <w:rFonts w:ascii="Arial" w:eastAsia="Arial" w:hAnsi="Arial" w:cs="Arial"/>
          <w:color w:val="auto"/>
          <w:szCs w:val="22"/>
        </w:rPr>
        <w:t>euro</w:t>
      </w:r>
      <w:r w:rsidR="00423C19" w:rsidRPr="004B4CFE">
        <w:rPr>
          <w:rFonts w:ascii="Arial" w:eastAsia="Arial" w:hAnsi="Arial" w:cs="Arial"/>
          <w:color w:val="auto"/>
          <w:szCs w:val="22"/>
        </w:rPr>
        <w:t>_______</w:t>
      </w:r>
      <w:r w:rsidR="00E7181A" w:rsidRPr="004B4CFE">
        <w:rPr>
          <w:rFonts w:ascii="Arial" w:eastAsia="Arial" w:hAnsi="Arial" w:cs="Arial"/>
          <w:color w:val="auto"/>
          <w:szCs w:val="22"/>
        </w:rPr>
        <w:t xml:space="preserve"> </w:t>
      </w:r>
      <w:r w:rsidR="00423C19" w:rsidRPr="004B4CFE">
        <w:rPr>
          <w:rFonts w:ascii="Arial" w:eastAsia="Arial" w:hAnsi="Arial" w:cs="Arial"/>
          <w:color w:val="auto"/>
          <w:szCs w:val="22"/>
        </w:rPr>
        <w:t xml:space="preserve">delle risorse del fondo di cui all’art. 52, co. 1, </w:t>
      </w:r>
      <w:r w:rsidR="00E76B91">
        <w:rPr>
          <w:rFonts w:ascii="Arial" w:eastAsia="Arial" w:hAnsi="Arial" w:cs="Arial"/>
          <w:color w:val="auto"/>
          <w:szCs w:val="22"/>
        </w:rPr>
        <w:t>D</w:t>
      </w:r>
      <w:r w:rsidR="00423C19" w:rsidRPr="004B4CFE">
        <w:rPr>
          <w:rFonts w:ascii="Arial" w:eastAsia="Arial" w:hAnsi="Arial" w:cs="Arial"/>
          <w:color w:val="auto"/>
          <w:szCs w:val="22"/>
        </w:rPr>
        <w:t>.l. n. 73/2021 finalizzate a ridurre il maggior disavanzo determinato dalla ricostituzione del FAL</w:t>
      </w:r>
      <w:r w:rsidRPr="004B4CFE">
        <w:rPr>
          <w:rFonts w:ascii="Arial" w:eastAsia="Arial" w:hAnsi="Arial" w:cs="Arial"/>
          <w:color w:val="auto"/>
          <w:szCs w:val="22"/>
        </w:rPr>
        <w:t>;</w:t>
      </w:r>
    </w:p>
    <w:p w14:paraId="14E65843" w14:textId="02140E67" w:rsidR="005D67FF" w:rsidRPr="004B4CFE" w:rsidRDefault="005D67FF"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bCs/>
          <w:color w:val="auto"/>
          <w:szCs w:val="22"/>
        </w:rPr>
        <w:t>si è avvalso/ non si è avvalso</w:t>
      </w:r>
      <w:r w:rsidRPr="004B4CFE">
        <w:rPr>
          <w:rFonts w:ascii="Arial" w:eastAsia="Arial" w:hAnsi="Arial" w:cs="Arial"/>
          <w:color w:val="auto"/>
          <w:szCs w:val="22"/>
        </w:rPr>
        <w:t xml:space="preserve"> della facoltà prevista dall’art.1-</w:t>
      </w:r>
      <w:r w:rsidR="00E7181A" w:rsidRPr="004B4CFE">
        <w:rPr>
          <w:rFonts w:ascii="Arial" w:eastAsia="Arial" w:hAnsi="Arial" w:cs="Arial"/>
          <w:color w:val="auto"/>
          <w:szCs w:val="22"/>
        </w:rPr>
        <w:t xml:space="preserve"> </w:t>
      </w:r>
      <w:r w:rsidR="00D12016" w:rsidRPr="00E76B91">
        <w:rPr>
          <w:rFonts w:ascii="Arial" w:eastAsia="Arial" w:hAnsi="Arial" w:cs="Arial"/>
          <w:i/>
          <w:iCs/>
          <w:color w:val="auto"/>
          <w:szCs w:val="22"/>
        </w:rPr>
        <w:t>quater</w:t>
      </w:r>
      <w:r w:rsidR="00E76B91">
        <w:rPr>
          <w:rFonts w:ascii="Arial" w:eastAsia="Arial" w:hAnsi="Arial" w:cs="Arial"/>
          <w:i/>
          <w:iCs/>
          <w:color w:val="auto"/>
          <w:szCs w:val="22"/>
        </w:rPr>
        <w:t>.</w:t>
      </w:r>
      <w:r w:rsidRPr="004B4CFE">
        <w:rPr>
          <w:rFonts w:ascii="Arial" w:eastAsia="Arial" w:hAnsi="Arial" w:cs="Arial"/>
          <w:color w:val="auto"/>
          <w:szCs w:val="22"/>
        </w:rPr>
        <w:t xml:space="preserve"> (</w:t>
      </w:r>
      <w:r w:rsidRPr="00E76B91">
        <w:rPr>
          <w:rFonts w:ascii="Arial" w:eastAsia="Arial" w:hAnsi="Arial" w:cs="Arial"/>
          <w:i/>
          <w:iCs/>
          <w:color w:val="auto"/>
          <w:szCs w:val="22"/>
        </w:rPr>
        <w:t>nel caso di risposta negativa indicare la quota di maggior recupero applicata agli esercizi successivi</w:t>
      </w:r>
      <w:r w:rsidR="00E76B91">
        <w:rPr>
          <w:rFonts w:ascii="Arial" w:eastAsia="Arial" w:hAnsi="Arial" w:cs="Arial"/>
          <w:color w:val="auto"/>
          <w:szCs w:val="22"/>
        </w:rPr>
        <w:t>)</w:t>
      </w:r>
    </w:p>
    <w:p w14:paraId="16294AB1" w14:textId="5ABC9A5D" w:rsidR="00626F3F" w:rsidRPr="00626F3F" w:rsidRDefault="00626F3F" w:rsidP="00626F3F">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Pr>
          <w:rFonts w:ascii="Arial" w:eastAsia="Arial" w:hAnsi="Arial" w:cs="Arial"/>
          <w:i/>
          <w:iCs/>
          <w:color w:val="auto"/>
          <w:szCs w:val="22"/>
        </w:rPr>
        <w:t>L</w:t>
      </w:r>
      <w:r w:rsidR="00AD74C6" w:rsidRPr="00AD74C6">
        <w:rPr>
          <w:rFonts w:ascii="Arial" w:eastAsia="Arial" w:hAnsi="Arial" w:cs="Arial"/>
          <w:i/>
          <w:iCs/>
          <w:color w:val="auto"/>
          <w:szCs w:val="22"/>
        </w:rPr>
        <w:t xml:space="preserve">’art.1 comma </w:t>
      </w:r>
      <w:r>
        <w:rPr>
          <w:rFonts w:ascii="Arial" w:eastAsia="Arial" w:hAnsi="Arial" w:cs="Arial"/>
          <w:i/>
          <w:iCs/>
          <w:color w:val="auto"/>
          <w:szCs w:val="22"/>
        </w:rPr>
        <w:t>663 della Legge di bilancio 2026</w:t>
      </w:r>
      <w:r w:rsidR="00AD74C6" w:rsidRPr="00AD74C6">
        <w:rPr>
          <w:rFonts w:ascii="Arial" w:eastAsia="Arial" w:hAnsi="Arial" w:cs="Arial"/>
          <w:i/>
          <w:iCs/>
          <w:color w:val="auto"/>
          <w:szCs w:val="22"/>
        </w:rPr>
        <w:t xml:space="preserve"> inserisce</w:t>
      </w:r>
      <w:r w:rsidR="00AD74C6" w:rsidRPr="00AD74C6">
        <w:rPr>
          <w:color w:val="auto"/>
        </w:rPr>
        <w:t xml:space="preserve"> </w:t>
      </w:r>
      <w:r w:rsidR="00AD74C6">
        <w:rPr>
          <w:rFonts w:ascii="Arial" w:eastAsia="Arial" w:hAnsi="Arial" w:cs="Arial"/>
          <w:i/>
          <w:iCs/>
          <w:color w:val="auto"/>
          <w:szCs w:val="22"/>
        </w:rPr>
        <w:t>a</w:t>
      </w:r>
      <w:r w:rsidR="00AD74C6" w:rsidRPr="00AD74C6">
        <w:rPr>
          <w:rFonts w:ascii="Arial" w:eastAsia="Arial" w:hAnsi="Arial" w:cs="Arial"/>
          <w:i/>
          <w:iCs/>
          <w:color w:val="auto"/>
          <w:szCs w:val="22"/>
        </w:rPr>
        <w:t>ll’articolo 259 del decreto legislativo 18 agosto 2000, n. 267, dopo il comma 1-ter, il seguente:</w:t>
      </w:r>
      <w:r w:rsidR="00AD74C6">
        <w:rPr>
          <w:rFonts w:ascii="Arial" w:eastAsia="Arial" w:hAnsi="Arial" w:cs="Arial"/>
          <w:i/>
          <w:iCs/>
          <w:color w:val="auto"/>
          <w:szCs w:val="22"/>
        </w:rPr>
        <w:t xml:space="preserve"> </w:t>
      </w:r>
      <w:r w:rsidR="00AD74C6" w:rsidRPr="00AD74C6">
        <w:rPr>
          <w:rFonts w:ascii="Arial" w:eastAsia="Arial" w:hAnsi="Arial" w:cs="Arial"/>
          <w:i/>
          <w:iCs/>
          <w:color w:val="auto"/>
          <w:szCs w:val="22"/>
        </w:rPr>
        <w:t xml:space="preserve">«1-quater. </w:t>
      </w:r>
      <w:r w:rsidRPr="00626F3F">
        <w:rPr>
          <w:rFonts w:ascii="Arial" w:eastAsia="Arial" w:hAnsi="Arial" w:cs="Arial"/>
          <w:i/>
          <w:iCs/>
          <w:color w:val="auto"/>
          <w:szCs w:val="22"/>
        </w:rPr>
        <w:t>L'ente locale ridetermina il risultato di</w:t>
      </w:r>
      <w:r>
        <w:rPr>
          <w:rFonts w:ascii="Arial" w:eastAsia="Arial" w:hAnsi="Arial" w:cs="Arial"/>
          <w:i/>
          <w:iCs/>
          <w:color w:val="auto"/>
          <w:szCs w:val="22"/>
        </w:rPr>
        <w:t xml:space="preserve"> </w:t>
      </w:r>
      <w:r w:rsidRPr="00626F3F">
        <w:rPr>
          <w:rFonts w:ascii="Arial" w:eastAsia="Arial" w:hAnsi="Arial" w:cs="Arial"/>
          <w:i/>
          <w:iCs/>
          <w:color w:val="auto"/>
          <w:szCs w:val="22"/>
        </w:rPr>
        <w:t>amministrazione al 31 dicembre dell'esercizio precedente l'ipotesi di</w:t>
      </w:r>
      <w:r>
        <w:rPr>
          <w:rFonts w:ascii="Arial" w:eastAsia="Arial" w:hAnsi="Arial" w:cs="Arial"/>
          <w:i/>
          <w:iCs/>
          <w:color w:val="auto"/>
          <w:szCs w:val="22"/>
        </w:rPr>
        <w:t xml:space="preserve"> </w:t>
      </w:r>
      <w:r w:rsidRPr="00626F3F">
        <w:rPr>
          <w:rFonts w:ascii="Arial" w:eastAsia="Arial" w:hAnsi="Arial" w:cs="Arial"/>
          <w:i/>
          <w:iCs/>
          <w:color w:val="auto"/>
          <w:szCs w:val="22"/>
        </w:rPr>
        <w:t>bilancio stabilmente riequilibrato al netto della massa passiva e</w:t>
      </w:r>
      <w:r>
        <w:rPr>
          <w:rFonts w:ascii="Arial" w:eastAsia="Arial" w:hAnsi="Arial" w:cs="Arial"/>
          <w:i/>
          <w:iCs/>
          <w:color w:val="auto"/>
          <w:szCs w:val="22"/>
        </w:rPr>
        <w:t xml:space="preserve"> </w:t>
      </w:r>
      <w:r w:rsidRPr="00626F3F">
        <w:rPr>
          <w:rFonts w:ascii="Arial" w:eastAsia="Arial" w:hAnsi="Arial" w:cs="Arial"/>
          <w:i/>
          <w:iCs/>
          <w:color w:val="auto"/>
          <w:szCs w:val="22"/>
        </w:rPr>
        <w:t>della massa attiva trasferita all'Organismo straordinario di</w:t>
      </w:r>
      <w:r>
        <w:rPr>
          <w:rFonts w:ascii="Arial" w:eastAsia="Arial" w:hAnsi="Arial" w:cs="Arial"/>
          <w:i/>
          <w:iCs/>
          <w:color w:val="auto"/>
          <w:szCs w:val="22"/>
        </w:rPr>
        <w:t xml:space="preserve"> </w:t>
      </w:r>
      <w:r w:rsidRPr="00626F3F">
        <w:rPr>
          <w:rFonts w:ascii="Arial" w:eastAsia="Arial" w:hAnsi="Arial" w:cs="Arial"/>
          <w:i/>
          <w:iCs/>
          <w:color w:val="auto"/>
          <w:szCs w:val="22"/>
        </w:rPr>
        <w:t>liquidazione, approvando il prospetto di cui all'allegato a),</w:t>
      </w:r>
      <w:r>
        <w:rPr>
          <w:rFonts w:ascii="Arial" w:eastAsia="Arial" w:hAnsi="Arial" w:cs="Arial"/>
          <w:i/>
          <w:iCs/>
          <w:color w:val="auto"/>
          <w:szCs w:val="22"/>
        </w:rPr>
        <w:t xml:space="preserve"> </w:t>
      </w:r>
      <w:r w:rsidRPr="00626F3F">
        <w:rPr>
          <w:rFonts w:ascii="Arial" w:eastAsia="Arial" w:hAnsi="Arial" w:cs="Arial"/>
          <w:i/>
          <w:iCs/>
          <w:color w:val="auto"/>
          <w:szCs w:val="22"/>
        </w:rPr>
        <w:t>Risultato di amministrazione, dello schema di rendiconto di cui</w:t>
      </w:r>
    </w:p>
    <w:p w14:paraId="5236216E" w14:textId="6DE9B3A0" w:rsidR="00AD74C6" w:rsidRDefault="00626F3F" w:rsidP="00626F3F">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626F3F">
        <w:rPr>
          <w:rFonts w:ascii="Arial" w:eastAsia="Arial" w:hAnsi="Arial" w:cs="Arial"/>
          <w:i/>
          <w:iCs/>
          <w:color w:val="auto"/>
          <w:szCs w:val="22"/>
        </w:rPr>
        <w:t>all'allegato 10 al decreto legislativo 23 giugno 2011, n. 118,</w:t>
      </w:r>
      <w:r>
        <w:rPr>
          <w:rFonts w:ascii="Arial" w:eastAsia="Arial" w:hAnsi="Arial" w:cs="Arial"/>
          <w:i/>
          <w:iCs/>
          <w:color w:val="auto"/>
          <w:szCs w:val="22"/>
        </w:rPr>
        <w:t xml:space="preserve"> </w:t>
      </w:r>
      <w:r w:rsidRPr="00626F3F">
        <w:rPr>
          <w:rFonts w:ascii="Arial" w:eastAsia="Arial" w:hAnsi="Arial" w:cs="Arial"/>
          <w:i/>
          <w:iCs/>
          <w:color w:val="auto"/>
          <w:szCs w:val="22"/>
        </w:rPr>
        <w:t>compreso il fondo anticipazione di liquidità, con deliberazione di</w:t>
      </w:r>
      <w:r>
        <w:rPr>
          <w:rFonts w:ascii="Arial" w:eastAsia="Arial" w:hAnsi="Arial" w:cs="Arial"/>
          <w:i/>
          <w:iCs/>
          <w:color w:val="auto"/>
          <w:szCs w:val="22"/>
        </w:rPr>
        <w:t xml:space="preserve"> </w:t>
      </w:r>
      <w:r w:rsidRPr="00626F3F">
        <w:rPr>
          <w:rFonts w:ascii="Arial" w:eastAsia="Arial" w:hAnsi="Arial" w:cs="Arial"/>
          <w:i/>
          <w:iCs/>
          <w:color w:val="auto"/>
          <w:szCs w:val="22"/>
        </w:rPr>
        <w:t>giunta, previo parere dell'organo di revisione economico-finanziaria.</w:t>
      </w:r>
      <w:r w:rsidR="009A39B7">
        <w:rPr>
          <w:rFonts w:ascii="Arial" w:eastAsia="Arial" w:hAnsi="Arial" w:cs="Arial"/>
          <w:i/>
          <w:iCs/>
          <w:color w:val="auto"/>
          <w:szCs w:val="22"/>
        </w:rPr>
        <w:t xml:space="preserve"> </w:t>
      </w:r>
      <w:r w:rsidRPr="00626F3F">
        <w:rPr>
          <w:rFonts w:ascii="Arial" w:eastAsia="Arial" w:hAnsi="Arial" w:cs="Arial"/>
          <w:i/>
          <w:iCs/>
          <w:color w:val="auto"/>
          <w:szCs w:val="22"/>
        </w:rPr>
        <w:t>L'</w:t>
      </w:r>
      <w:r w:rsidR="00352C52">
        <w:rPr>
          <w:rFonts w:ascii="Arial" w:eastAsia="Arial" w:hAnsi="Arial" w:cs="Arial"/>
          <w:i/>
          <w:iCs/>
          <w:color w:val="auto"/>
          <w:szCs w:val="22"/>
        </w:rPr>
        <w:t xml:space="preserve"> </w:t>
      </w:r>
      <w:r w:rsidRPr="00626F3F">
        <w:rPr>
          <w:rFonts w:ascii="Arial" w:eastAsia="Arial" w:hAnsi="Arial" w:cs="Arial"/>
          <w:i/>
          <w:iCs/>
          <w:color w:val="auto"/>
          <w:szCs w:val="22"/>
        </w:rPr>
        <w:t>eventuale disavanzo può essere ripianato in dieci anni, a quote</w:t>
      </w:r>
      <w:r>
        <w:rPr>
          <w:rFonts w:ascii="Arial" w:eastAsia="Arial" w:hAnsi="Arial" w:cs="Arial"/>
          <w:i/>
          <w:iCs/>
          <w:color w:val="auto"/>
          <w:szCs w:val="22"/>
        </w:rPr>
        <w:t xml:space="preserve"> </w:t>
      </w:r>
      <w:r w:rsidRPr="00626F3F">
        <w:rPr>
          <w:rFonts w:ascii="Arial" w:eastAsia="Arial" w:hAnsi="Arial" w:cs="Arial"/>
          <w:i/>
          <w:iCs/>
          <w:color w:val="auto"/>
          <w:szCs w:val="22"/>
        </w:rPr>
        <w:t>costanti, a partire dall'anno dell'ipotesi di bilancio stabilmente</w:t>
      </w:r>
      <w:r>
        <w:rPr>
          <w:rFonts w:ascii="Arial" w:eastAsia="Arial" w:hAnsi="Arial" w:cs="Arial"/>
          <w:i/>
          <w:iCs/>
          <w:color w:val="auto"/>
          <w:szCs w:val="22"/>
        </w:rPr>
        <w:t xml:space="preserve"> </w:t>
      </w:r>
      <w:r w:rsidRPr="00626F3F">
        <w:rPr>
          <w:rFonts w:ascii="Arial" w:eastAsia="Arial" w:hAnsi="Arial" w:cs="Arial"/>
          <w:i/>
          <w:iCs/>
          <w:color w:val="auto"/>
          <w:szCs w:val="22"/>
        </w:rPr>
        <w:t>riequilibrato</w:t>
      </w:r>
      <w:r w:rsidR="00AD74C6" w:rsidRPr="00AD74C6">
        <w:rPr>
          <w:rFonts w:ascii="Arial" w:eastAsia="Arial" w:hAnsi="Arial" w:cs="Arial"/>
          <w:i/>
          <w:iCs/>
          <w:color w:val="auto"/>
          <w:szCs w:val="22"/>
        </w:rPr>
        <w:t>.».</w:t>
      </w:r>
    </w:p>
    <w:p w14:paraId="6FCA6E29" w14:textId="42076A51" w:rsidR="00061AB1" w:rsidRPr="00061AB1" w:rsidRDefault="00061AB1" w:rsidP="00061AB1">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061AB1">
        <w:rPr>
          <w:rFonts w:ascii="Arial" w:eastAsia="Arial" w:hAnsi="Arial" w:cs="Arial"/>
          <w:i/>
          <w:iCs/>
          <w:color w:val="auto"/>
          <w:szCs w:val="22"/>
        </w:rPr>
        <w:t>La disposizione prevede</w:t>
      </w:r>
      <w:r>
        <w:rPr>
          <w:rFonts w:ascii="Arial" w:eastAsia="Arial" w:hAnsi="Arial" w:cs="Arial"/>
          <w:i/>
          <w:iCs/>
          <w:color w:val="auto"/>
          <w:szCs w:val="22"/>
        </w:rPr>
        <w:t>, pertanto,</w:t>
      </w:r>
      <w:r w:rsidRPr="00061AB1">
        <w:rPr>
          <w:rFonts w:ascii="Arial" w:eastAsia="Arial" w:hAnsi="Arial" w:cs="Arial"/>
          <w:i/>
          <w:iCs/>
          <w:color w:val="auto"/>
          <w:szCs w:val="22"/>
        </w:rPr>
        <w:t xml:space="preserve"> che gli enti in dissesto, nel rideterminare il risultato di</w:t>
      </w:r>
      <w:r>
        <w:rPr>
          <w:rFonts w:ascii="Arial" w:eastAsia="Arial" w:hAnsi="Arial" w:cs="Arial"/>
          <w:i/>
          <w:iCs/>
          <w:color w:val="auto"/>
          <w:szCs w:val="22"/>
        </w:rPr>
        <w:t xml:space="preserve"> </w:t>
      </w:r>
      <w:r w:rsidRPr="00061AB1">
        <w:rPr>
          <w:rFonts w:ascii="Arial" w:eastAsia="Arial" w:hAnsi="Arial" w:cs="Arial"/>
          <w:i/>
          <w:iCs/>
          <w:color w:val="auto"/>
          <w:szCs w:val="22"/>
        </w:rPr>
        <w:t>amministrazione al 31 dicembre dell’esercizio precedente alla presentazione del bilancio</w:t>
      </w:r>
      <w:r>
        <w:rPr>
          <w:rFonts w:ascii="Arial" w:eastAsia="Arial" w:hAnsi="Arial" w:cs="Arial"/>
          <w:i/>
          <w:iCs/>
          <w:color w:val="auto"/>
          <w:szCs w:val="22"/>
        </w:rPr>
        <w:t xml:space="preserve"> </w:t>
      </w:r>
      <w:r w:rsidRPr="00061AB1">
        <w:rPr>
          <w:rFonts w:ascii="Arial" w:eastAsia="Arial" w:hAnsi="Arial" w:cs="Arial"/>
          <w:i/>
          <w:iCs/>
          <w:color w:val="auto"/>
          <w:szCs w:val="22"/>
        </w:rPr>
        <w:t>riequilibrato, oltre ad escludere i debiti e crediti trasferiti all’Organismo straordinario di</w:t>
      </w:r>
      <w:r>
        <w:rPr>
          <w:rFonts w:ascii="Arial" w:eastAsia="Arial" w:hAnsi="Arial" w:cs="Arial"/>
          <w:i/>
          <w:iCs/>
          <w:color w:val="auto"/>
          <w:szCs w:val="22"/>
        </w:rPr>
        <w:t xml:space="preserve"> </w:t>
      </w:r>
      <w:r w:rsidRPr="00061AB1">
        <w:rPr>
          <w:rFonts w:ascii="Arial" w:eastAsia="Arial" w:hAnsi="Arial" w:cs="Arial"/>
          <w:i/>
          <w:iCs/>
          <w:color w:val="auto"/>
          <w:szCs w:val="22"/>
        </w:rPr>
        <w:t xml:space="preserve">liquidazione, iscrivano il fondo anticipazione di liquidità (FAL). </w:t>
      </w:r>
    </w:p>
    <w:p w14:paraId="219C98D3" w14:textId="2AAD6803" w:rsidR="00061AB1" w:rsidRPr="00AD74C6" w:rsidRDefault="00061AB1" w:rsidP="00061AB1">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061AB1">
        <w:rPr>
          <w:rFonts w:ascii="Arial" w:eastAsia="Arial" w:hAnsi="Arial" w:cs="Arial"/>
          <w:i/>
          <w:iCs/>
          <w:color w:val="auto"/>
          <w:szCs w:val="22"/>
        </w:rPr>
        <w:t>Il disavanzo eventualmente risultante per effetto di tale iscrizione potrà essere ripianato in</w:t>
      </w:r>
      <w:r>
        <w:rPr>
          <w:rFonts w:ascii="Arial" w:eastAsia="Arial" w:hAnsi="Arial" w:cs="Arial"/>
          <w:i/>
          <w:iCs/>
          <w:color w:val="auto"/>
          <w:szCs w:val="22"/>
        </w:rPr>
        <w:t xml:space="preserve"> </w:t>
      </w:r>
      <w:r w:rsidRPr="00061AB1">
        <w:rPr>
          <w:rFonts w:ascii="Arial" w:eastAsia="Arial" w:hAnsi="Arial" w:cs="Arial"/>
          <w:i/>
          <w:iCs/>
          <w:color w:val="auto"/>
          <w:szCs w:val="22"/>
        </w:rPr>
        <w:t>10 anni, con quote annuali costanti, a partire dall’anno in cui si presenta il bilancio</w:t>
      </w:r>
      <w:r>
        <w:rPr>
          <w:rFonts w:ascii="Arial" w:eastAsia="Arial" w:hAnsi="Arial" w:cs="Arial"/>
          <w:i/>
          <w:iCs/>
          <w:color w:val="auto"/>
          <w:szCs w:val="22"/>
        </w:rPr>
        <w:t xml:space="preserve"> </w:t>
      </w:r>
      <w:r w:rsidRPr="00061AB1">
        <w:rPr>
          <w:rFonts w:ascii="Arial" w:eastAsia="Arial" w:hAnsi="Arial" w:cs="Arial"/>
          <w:i/>
          <w:iCs/>
          <w:color w:val="auto"/>
          <w:szCs w:val="22"/>
        </w:rPr>
        <w:t>riequilibrat</w:t>
      </w:r>
      <w:r>
        <w:rPr>
          <w:rFonts w:ascii="Arial" w:eastAsia="Arial" w:hAnsi="Arial" w:cs="Arial"/>
          <w:i/>
          <w:iCs/>
          <w:color w:val="auto"/>
          <w:szCs w:val="22"/>
        </w:rPr>
        <w:t>o.</w:t>
      </w:r>
    </w:p>
    <w:p w14:paraId="52761E59" w14:textId="77777777" w:rsidR="00AD74C6" w:rsidRDefault="00AD74C6" w:rsidP="00AD74C6">
      <w:pPr>
        <w:pBdr>
          <w:top w:val="nil"/>
          <w:left w:val="nil"/>
          <w:bottom w:val="nil"/>
          <w:right w:val="nil"/>
          <w:between w:val="nil"/>
        </w:pBdr>
        <w:spacing w:line="240" w:lineRule="auto"/>
        <w:ind w:hanging="2"/>
        <w:rPr>
          <w:rFonts w:ascii="Arial" w:eastAsia="Arial" w:hAnsi="Arial" w:cs="Arial"/>
          <w:i/>
          <w:iCs/>
          <w:color w:val="00B0F0"/>
          <w:szCs w:val="22"/>
        </w:rPr>
      </w:pPr>
    </w:p>
    <w:p w14:paraId="6C5984B3" w14:textId="68CE40B5"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8" w:name="_Toc219808165"/>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3</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Equilibri di bilancio</w:t>
      </w:r>
      <w:bookmarkEnd w:id="28"/>
    </w:p>
    <w:p w14:paraId="68AD70E6" w14:textId="7E6B390C" w:rsidR="00F044FD" w:rsidRPr="001F0872" w:rsidRDefault="00F044FD" w:rsidP="0046582C">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L’Organo di revisione ha verificato che</w:t>
      </w:r>
      <w:r>
        <w:rPr>
          <w:rFonts w:ascii="Arial" w:eastAsia="Arial" w:hAnsi="Arial" w:cs="Arial"/>
          <w:color w:val="auto"/>
          <w:szCs w:val="22"/>
        </w:rPr>
        <w:t xml:space="preserve"> </w:t>
      </w:r>
      <w:r w:rsidRPr="004B4CFE">
        <w:rPr>
          <w:rFonts w:ascii="Arial" w:eastAsia="Arial" w:hAnsi="Arial" w:cs="Arial"/>
          <w:color w:val="auto"/>
        </w:rPr>
        <w:t>l’impostazione del bilancio di previsione 202</w:t>
      </w:r>
      <w:r w:rsidR="009C38AA">
        <w:rPr>
          <w:rFonts w:ascii="Arial" w:eastAsia="Arial" w:hAnsi="Arial" w:cs="Arial"/>
          <w:color w:val="auto"/>
        </w:rPr>
        <w:t>6</w:t>
      </w:r>
      <w:r w:rsidRPr="004B4CFE">
        <w:rPr>
          <w:rFonts w:ascii="Arial" w:eastAsia="Arial" w:hAnsi="Arial" w:cs="Arial"/>
          <w:color w:val="auto"/>
        </w:rPr>
        <w:t>-202</w:t>
      </w:r>
      <w:r w:rsidR="009C38AA">
        <w:rPr>
          <w:rFonts w:ascii="Arial" w:eastAsia="Arial" w:hAnsi="Arial" w:cs="Arial"/>
          <w:color w:val="auto"/>
        </w:rPr>
        <w:t>8</w:t>
      </w:r>
      <w:r w:rsidRPr="004B4CFE">
        <w:rPr>
          <w:rFonts w:ascii="Arial" w:eastAsia="Arial" w:hAnsi="Arial" w:cs="Arial"/>
          <w:color w:val="auto"/>
        </w:rPr>
        <w:t xml:space="preserve"> è tale </w:t>
      </w:r>
      <w:r w:rsidRPr="004B4CFE">
        <w:rPr>
          <w:rFonts w:ascii="Arial" w:eastAsia="Arial" w:hAnsi="Arial" w:cs="Arial"/>
          <w:b/>
          <w:color w:val="auto"/>
        </w:rPr>
        <w:t>da garantire/non garantire</w:t>
      </w:r>
      <w:r w:rsidRPr="004B4CFE">
        <w:rPr>
          <w:rFonts w:ascii="Arial" w:eastAsia="Arial" w:hAnsi="Arial" w:cs="Arial"/>
          <w:color w:val="auto"/>
        </w:rPr>
        <w:t xml:space="preserve"> il rispetto del saldo di competenza d’esercizio non negativo</w:t>
      </w:r>
      <w:r w:rsidR="0046582C">
        <w:rPr>
          <w:rFonts w:ascii="Arial" w:eastAsia="Arial" w:hAnsi="Arial" w:cs="Arial"/>
          <w:color w:val="auto"/>
        </w:rPr>
        <w:t xml:space="preserve"> ai sensi del comma 785 dell’articolo 1 della Legge 30 dicembre 2024 n.207</w:t>
      </w:r>
      <w:r w:rsidR="006C106F">
        <w:rPr>
          <w:rFonts w:ascii="Arial" w:eastAsia="Arial" w:hAnsi="Arial" w:cs="Arial"/>
          <w:color w:val="auto"/>
        </w:rPr>
        <w:t xml:space="preserve"> </w:t>
      </w:r>
      <w:r w:rsidR="001F0872" w:rsidRPr="00FF143B">
        <w:rPr>
          <w:rFonts w:ascii="Arial" w:eastAsia="Arial" w:hAnsi="Arial" w:cs="Arial"/>
          <w:color w:val="000000"/>
          <w:szCs w:val="22"/>
          <w:u w:val="single"/>
        </w:rPr>
        <w:t>comprensivo dell’utilizzo dell’avanzo di amministrazione e del recupero del disavanzo di amministrazione e degli utilizzi del fondo pluriennale vincolato, al netto delle entrate vincolate e accantonate non utilizzate nel corso dell’esercizio</w:t>
      </w:r>
      <w:r w:rsidR="001F0872">
        <w:rPr>
          <w:rFonts w:ascii="Arial" w:eastAsia="Arial" w:hAnsi="Arial" w:cs="Arial"/>
          <w:color w:val="000000"/>
          <w:szCs w:val="22"/>
          <w:u w:val="single"/>
        </w:rPr>
        <w:t xml:space="preserve"> (</w:t>
      </w:r>
      <w:r w:rsidR="006C106F">
        <w:rPr>
          <w:rFonts w:ascii="Arial" w:eastAsia="Arial" w:hAnsi="Arial" w:cs="Arial"/>
          <w:color w:val="auto"/>
        </w:rPr>
        <w:t>prospett</w:t>
      </w:r>
      <w:r w:rsidR="001F0872">
        <w:rPr>
          <w:rFonts w:ascii="Arial" w:eastAsia="Arial" w:hAnsi="Arial" w:cs="Arial"/>
          <w:color w:val="auto"/>
        </w:rPr>
        <w:t>o</w:t>
      </w:r>
      <w:r w:rsidR="006C106F">
        <w:rPr>
          <w:rFonts w:ascii="Arial" w:eastAsia="Arial" w:hAnsi="Arial" w:cs="Arial"/>
          <w:color w:val="auto"/>
        </w:rPr>
        <w:t xml:space="preserve"> di cui all’allegato 10</w:t>
      </w:r>
      <w:r w:rsidR="001F0872">
        <w:rPr>
          <w:rFonts w:ascii="Arial" w:eastAsia="Arial" w:hAnsi="Arial" w:cs="Arial"/>
          <w:color w:val="auto"/>
        </w:rPr>
        <w:t xml:space="preserve"> al rendiconto)</w:t>
      </w:r>
      <w:r w:rsidR="0046582C">
        <w:rPr>
          <w:rFonts w:ascii="Arial" w:eastAsia="Arial" w:hAnsi="Arial" w:cs="Arial"/>
          <w:color w:val="auto"/>
        </w:rPr>
        <w:t>.</w:t>
      </w:r>
      <w:r w:rsidR="0046582C" w:rsidRPr="004B4CFE" w:rsidDel="0046582C">
        <w:rPr>
          <w:rFonts w:ascii="Arial" w:eastAsia="Arial" w:hAnsi="Arial" w:cs="Arial"/>
          <w:color w:val="auto"/>
        </w:rPr>
        <w:t xml:space="preserve"> </w:t>
      </w:r>
    </w:p>
    <w:p w14:paraId="2B7CE115" w14:textId="56F68D7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equilibri richiesti dal comma 6 dell’art.162 del TUEL sono così assicurati:</w:t>
      </w:r>
    </w:p>
    <w:p w14:paraId="70D3BD8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138FEE0" w14:textId="2E7DADAE"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bookmarkStart w:id="29" w:name="_heading=h.49x2ik5" w:colFirst="0" w:colLast="0"/>
      <w:bookmarkEnd w:id="29"/>
      <w:r w:rsidRPr="00135AF1">
        <w:rPr>
          <w:rFonts w:ascii="Arial" w:eastAsia="Arial" w:hAnsi="Arial" w:cs="Arial"/>
          <w:b/>
          <w:bCs/>
          <w:iCs/>
          <w:color w:val="000000"/>
          <w:szCs w:val="22"/>
        </w:rPr>
        <w:t xml:space="preserve">TABELLA </w:t>
      </w:r>
      <w:r w:rsidR="005D67FF">
        <w:rPr>
          <w:rFonts w:ascii="Arial" w:eastAsia="Arial" w:hAnsi="Arial" w:cs="Arial"/>
          <w:b/>
          <w:bCs/>
          <w:iCs/>
          <w:color w:val="000000"/>
          <w:szCs w:val="22"/>
        </w:rPr>
        <w:t>6</w:t>
      </w:r>
    </w:p>
    <w:p w14:paraId="56F138C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6D061D36" w14:textId="38A3D14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L’importo di </w:t>
      </w:r>
      <w:r w:rsidR="00E82796">
        <w:rPr>
          <w:rFonts w:ascii="Arial" w:eastAsia="Arial" w:hAnsi="Arial" w:cs="Arial"/>
          <w:color w:val="auto"/>
          <w:szCs w:val="22"/>
        </w:rPr>
        <w:t>e</w:t>
      </w:r>
      <w:r w:rsidRPr="004B4CFE">
        <w:rPr>
          <w:rFonts w:ascii="Arial" w:eastAsia="Arial" w:hAnsi="Arial" w:cs="Arial"/>
          <w:color w:val="auto"/>
          <w:szCs w:val="22"/>
        </w:rPr>
        <w:t>uro ………………. di entrate di parte corrente destinate a spese in conto capitale sono costituite da:</w:t>
      </w:r>
    </w:p>
    <w:p w14:paraId="1E9B89AC"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w:t>
      </w:r>
    </w:p>
    <w:p w14:paraId="4FFD3D76"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w:t>
      </w:r>
    </w:p>
    <w:p w14:paraId="45305436" w14:textId="399D054D"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lastRenderedPageBreak/>
        <w:t>L’importo di euro</w:t>
      </w:r>
      <w:r w:rsidR="00352C52">
        <w:rPr>
          <w:rFonts w:ascii="Arial" w:eastAsia="Arial" w:hAnsi="Arial" w:cs="Arial"/>
          <w:color w:val="auto"/>
          <w:szCs w:val="22"/>
        </w:rPr>
        <w:t xml:space="preserve"> </w:t>
      </w:r>
      <w:r w:rsidRPr="004B4CFE">
        <w:rPr>
          <w:rFonts w:ascii="Arial" w:eastAsia="Arial" w:hAnsi="Arial" w:cs="Arial"/>
          <w:color w:val="auto"/>
          <w:szCs w:val="22"/>
        </w:rPr>
        <w:t>…….. di entrate in conto capitale destinate a spese corrente sono costituite da:</w:t>
      </w:r>
    </w:p>
    <w:p w14:paraId="6A1B6259"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3798DC28"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7E42AC9D"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p>
    <w:p w14:paraId="5EE50B2E"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13EABF34"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Il saldo positivo di parte corrente è destinato a:</w:t>
      </w:r>
    </w:p>
    <w:p w14:paraId="2FB5D90D"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 saldo negativo delle partite finanziarie;</w:t>
      </w:r>
    </w:p>
    <w:p w14:paraId="6E54932C"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delle spese in c/capitale</w:t>
      </w:r>
    </w:p>
    <w:p w14:paraId="3D9EFBD1"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w:t>
      </w:r>
    </w:p>
    <w:p w14:paraId="784DF021" w14:textId="77777777" w:rsidR="00E7181A" w:rsidRDefault="00E7181A" w:rsidP="000F434D">
      <w:pPr>
        <w:pBdr>
          <w:top w:val="nil"/>
          <w:left w:val="nil"/>
          <w:bottom w:val="nil"/>
          <w:right w:val="nil"/>
          <w:between w:val="nil"/>
        </w:pBdr>
        <w:spacing w:line="240" w:lineRule="auto"/>
        <w:rPr>
          <w:rFonts w:ascii="Arial" w:eastAsia="Arial" w:hAnsi="Arial" w:cs="Arial"/>
          <w:szCs w:val="22"/>
        </w:rPr>
      </w:pPr>
    </w:p>
    <w:p w14:paraId="172F4C15" w14:textId="01A31B31" w:rsidR="000F434D" w:rsidRPr="004B4CFE" w:rsidRDefault="000F434D" w:rsidP="00B20671">
      <w:pPr>
        <w:pBdr>
          <w:top w:val="nil"/>
          <w:left w:val="nil"/>
          <w:bottom w:val="nil"/>
          <w:right w:val="nil"/>
          <w:between w:val="nil"/>
        </w:pBdr>
        <w:tabs>
          <w:tab w:val="left" w:pos="6528"/>
        </w:tabs>
        <w:spacing w:line="240" w:lineRule="auto"/>
        <w:rPr>
          <w:rFonts w:ascii="Arial" w:eastAsia="Arial" w:hAnsi="Arial" w:cs="Arial"/>
          <w:color w:val="auto"/>
          <w:szCs w:val="22"/>
        </w:rPr>
      </w:pPr>
      <w:r w:rsidRPr="004B4CFE">
        <w:rPr>
          <w:rFonts w:ascii="Arial" w:eastAsia="Arial" w:hAnsi="Arial" w:cs="Arial"/>
          <w:color w:val="auto"/>
          <w:szCs w:val="22"/>
        </w:rPr>
        <w:t xml:space="preserve">L’equilibrio finale </w:t>
      </w:r>
      <w:r w:rsidRPr="004B4CFE">
        <w:rPr>
          <w:rFonts w:ascii="Arial" w:eastAsia="Arial" w:hAnsi="Arial" w:cs="Arial"/>
          <w:b/>
          <w:iCs/>
          <w:color w:val="auto"/>
          <w:szCs w:val="22"/>
        </w:rPr>
        <w:t>è pari/non è pari</w:t>
      </w:r>
      <w:r w:rsidRPr="004B4CFE">
        <w:rPr>
          <w:rFonts w:ascii="Arial" w:eastAsia="Arial" w:hAnsi="Arial" w:cs="Arial"/>
          <w:color w:val="auto"/>
          <w:szCs w:val="22"/>
        </w:rPr>
        <w:t xml:space="preserve"> a zero.</w:t>
      </w:r>
      <w:r w:rsidR="00813765">
        <w:rPr>
          <w:rFonts w:ascii="Arial" w:eastAsia="Arial" w:hAnsi="Arial" w:cs="Arial"/>
          <w:color w:val="auto"/>
          <w:szCs w:val="22"/>
        </w:rPr>
        <w:tab/>
      </w:r>
    </w:p>
    <w:p w14:paraId="12E44E2B" w14:textId="02DDFD3A" w:rsidR="008A5A9B" w:rsidRPr="004B4CFE" w:rsidRDefault="008A5A9B"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verificato che nel bilancio di previsione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w:t>
      </w:r>
      <w:r w:rsidRPr="004B4CFE">
        <w:rPr>
          <w:rFonts w:ascii="Arial" w:eastAsia="Arial" w:hAnsi="Arial" w:cs="Arial"/>
          <w:b/>
          <w:bCs/>
          <w:color w:val="auto"/>
          <w:szCs w:val="22"/>
        </w:rPr>
        <w:t>è stata prevista/non è stata prevista</w:t>
      </w:r>
      <w:r w:rsidRPr="004B4CFE">
        <w:rPr>
          <w:rFonts w:ascii="Arial" w:eastAsia="Arial" w:hAnsi="Arial" w:cs="Arial"/>
          <w:color w:val="auto"/>
          <w:szCs w:val="22"/>
        </w:rPr>
        <w:t xml:space="preserve"> l’applicazione di euro ………. di avanzo accantonato/vincolato presunto.</w:t>
      </w:r>
    </w:p>
    <w:p w14:paraId="02CDE112" w14:textId="1D06AB44" w:rsidR="003C46F2" w:rsidRDefault="003C46F2" w:rsidP="008A5A9B">
      <w:pPr>
        <w:widowControl w:val="0"/>
        <w:pBdr>
          <w:top w:val="nil"/>
          <w:left w:val="nil"/>
          <w:bottom w:val="nil"/>
          <w:right w:val="nil"/>
          <w:between w:val="nil"/>
        </w:pBdr>
        <w:spacing w:line="256" w:lineRule="auto"/>
        <w:ind w:right="238" w:hanging="2"/>
        <w:rPr>
          <w:rFonts w:ascii="Arial" w:eastAsia="Arial" w:hAnsi="Arial" w:cs="Arial"/>
          <w:i/>
          <w:iCs/>
          <w:szCs w:val="22"/>
        </w:rPr>
      </w:pPr>
      <w:r>
        <w:rPr>
          <w:rFonts w:ascii="Arial" w:eastAsia="Arial" w:hAnsi="Arial" w:cs="Arial"/>
          <w:szCs w:val="22"/>
        </w:rPr>
        <w:t>(</w:t>
      </w:r>
      <w:r w:rsidRPr="00E7181A">
        <w:rPr>
          <w:rFonts w:ascii="Arial" w:eastAsia="Arial" w:hAnsi="Arial" w:cs="Arial"/>
          <w:i/>
          <w:iCs/>
          <w:color w:val="00B0F0"/>
          <w:szCs w:val="22"/>
        </w:rPr>
        <w:t>In caso di risp</w:t>
      </w:r>
      <w:r w:rsidR="00E82796">
        <w:rPr>
          <w:rFonts w:ascii="Arial" w:eastAsia="Arial" w:hAnsi="Arial" w:cs="Arial"/>
          <w:i/>
          <w:iCs/>
          <w:color w:val="00B0F0"/>
          <w:szCs w:val="22"/>
        </w:rPr>
        <w:t>o</w:t>
      </w:r>
      <w:r w:rsidRPr="00E7181A">
        <w:rPr>
          <w:rFonts w:ascii="Arial" w:eastAsia="Arial" w:hAnsi="Arial" w:cs="Arial"/>
          <w:i/>
          <w:iCs/>
          <w:color w:val="00B0F0"/>
          <w:szCs w:val="22"/>
        </w:rPr>
        <w:t>sta affermativa</w:t>
      </w:r>
      <w:r>
        <w:rPr>
          <w:rFonts w:ascii="Arial" w:eastAsia="Arial" w:hAnsi="Arial" w:cs="Arial"/>
          <w:i/>
          <w:iCs/>
          <w:szCs w:val="22"/>
        </w:rPr>
        <w:t>)</w:t>
      </w:r>
    </w:p>
    <w:p w14:paraId="7D77F4EB" w14:textId="26CCAE87" w:rsidR="003C46F2"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Gli importi sono indicati nella seguente tabella:</w:t>
      </w:r>
    </w:p>
    <w:bookmarkStart w:id="30" w:name="_MON_1759809434"/>
    <w:bookmarkEnd w:id="30"/>
    <w:p w14:paraId="0659D4F7" w14:textId="7F57C928" w:rsidR="003C46F2" w:rsidRPr="004B4CFE" w:rsidRDefault="00352C52" w:rsidP="00B96B45">
      <w:pPr>
        <w:widowControl w:val="0"/>
        <w:pBdr>
          <w:top w:val="nil"/>
          <w:left w:val="nil"/>
          <w:bottom w:val="nil"/>
          <w:right w:val="nil"/>
          <w:between w:val="nil"/>
        </w:pBdr>
        <w:spacing w:line="257" w:lineRule="auto"/>
        <w:ind w:right="238"/>
        <w:rPr>
          <w:rFonts w:ascii="Arial" w:eastAsia="Arial" w:hAnsi="Arial" w:cs="Arial"/>
          <w:color w:val="auto"/>
          <w:szCs w:val="22"/>
        </w:rPr>
      </w:pPr>
      <w:r w:rsidRPr="004B4CFE">
        <w:rPr>
          <w:rFonts w:ascii="Arial" w:eastAsia="Arial" w:hAnsi="Arial" w:cs="Arial"/>
          <w:color w:val="auto"/>
          <w:szCs w:val="22"/>
        </w:rPr>
        <w:object w:dxaOrig="9747" w:dyaOrig="3209" w14:anchorId="75081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pt;height:157.2pt" o:ole="">
            <v:imagedata r:id="rId25" o:title=""/>
          </v:shape>
          <o:OLEObject Type="Embed" ProgID="Excel.Sheet.12" ShapeID="_x0000_i1025" DrawAspect="Content" ObjectID="_1830422856" r:id="rId26"/>
        </w:object>
      </w:r>
    </w:p>
    <w:p w14:paraId="5FB5E498" w14:textId="4E96CBA2" w:rsidR="008A5A9B"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w:t>
      </w:r>
      <w:r w:rsidR="005D67FF" w:rsidRPr="004B4CFE">
        <w:rPr>
          <w:rFonts w:ascii="Arial" w:eastAsia="Arial" w:hAnsi="Arial" w:cs="Arial"/>
          <w:color w:val="auto"/>
          <w:szCs w:val="22"/>
        </w:rPr>
        <w:t>i</w:t>
      </w:r>
      <w:r w:rsidRPr="004B4CFE">
        <w:rPr>
          <w:rFonts w:ascii="Arial" w:eastAsia="Arial" w:hAnsi="Arial" w:cs="Arial"/>
          <w:color w:val="auto"/>
          <w:szCs w:val="22"/>
        </w:rPr>
        <w:t xml:space="preserve">cato che l’Ente </w:t>
      </w:r>
      <w:r w:rsidRPr="004B4CFE">
        <w:rPr>
          <w:rFonts w:ascii="Arial" w:eastAsia="Arial" w:hAnsi="Arial" w:cs="Arial"/>
          <w:b/>
          <w:bCs/>
          <w:color w:val="auto"/>
          <w:szCs w:val="22"/>
        </w:rPr>
        <w:t>ha/non ha</w:t>
      </w:r>
      <w:r w:rsidR="008A5A9B" w:rsidRPr="004B4CFE">
        <w:rPr>
          <w:rFonts w:ascii="Arial" w:eastAsia="Arial" w:hAnsi="Arial" w:cs="Arial"/>
          <w:color w:val="auto"/>
          <w:szCs w:val="22"/>
        </w:rPr>
        <w:t xml:space="preserve"> allegat</w:t>
      </w:r>
      <w:r w:rsidRPr="004B4CFE">
        <w:rPr>
          <w:rFonts w:ascii="Arial" w:eastAsia="Arial" w:hAnsi="Arial" w:cs="Arial"/>
          <w:color w:val="auto"/>
          <w:szCs w:val="22"/>
        </w:rPr>
        <w:t>o</w:t>
      </w:r>
      <w:r w:rsidR="008A5A9B" w:rsidRPr="004B4CFE">
        <w:rPr>
          <w:rFonts w:ascii="Arial" w:eastAsia="Arial" w:hAnsi="Arial" w:cs="Arial"/>
          <w:color w:val="auto"/>
          <w:szCs w:val="22"/>
        </w:rPr>
        <w:t xml:space="preserve"> i prospetti A1 e A2 nel caso di applicazione dell’avanzo presunto per le quote vincolate ed accantonate.</w:t>
      </w:r>
    </w:p>
    <w:p w14:paraId="1117889A" w14:textId="77777777" w:rsidR="008A5A9B" w:rsidRPr="00F56672"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w:t>
      </w:r>
    </w:p>
    <w:p w14:paraId="17672405" w14:textId="46755C23" w:rsidR="00DE45D7" w:rsidRPr="00F56672" w:rsidRDefault="008A5A9B" w:rsidP="00DE45D7">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1) Si ricorda che l’avanzo destinato ad investimenti può essere applicato solo dopo l’approvazione del rendiconto. </w:t>
      </w:r>
    </w:p>
    <w:p w14:paraId="08A4FE20" w14:textId="77777777" w:rsidR="008A5A9B"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2) Gli enti che hanno il FAL in sede di bilancio di previsione possono applicare la quota del risultato di amministrazione liberata a seguito della riduzione del FAL stesso, sulla base della determinazione del risultato presunto di amministrazione, dando evidenza nella nota integrativa della copertura delle rate di ammortamento delle anticipazioni di liquidità attraverso le entrate correnti, e non dall’utilizzo del FAL.</w:t>
      </w:r>
    </w:p>
    <w:p w14:paraId="61DD2E20" w14:textId="0E633B2D"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1" w:name="_Toc219808166"/>
      <w:r>
        <w:rPr>
          <w:rFonts w:ascii="Calibri" w:eastAsiaTheme="majorEastAsia" w:hAnsi="Calibri" w:cs="Times New Roman (Titoli CS)"/>
          <w:b/>
          <w:i/>
          <w:iCs/>
          <w:color w:val="C00000"/>
          <w:sz w:val="28"/>
          <w:szCs w:val="40"/>
        </w:rPr>
        <w:lastRenderedPageBreak/>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4</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Previsioni di cassa</w:t>
      </w:r>
      <w:bookmarkEnd w:id="31"/>
    </w:p>
    <w:p w14:paraId="181585EE" w14:textId="77777777" w:rsidR="008A5A9B" w:rsidRDefault="008A5A9B" w:rsidP="008A5A9B">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situazione di cassa dell’Ente al 31 dicembre degli ultimi tre esercizi presenta i seguenti risultati: </w:t>
      </w:r>
    </w:p>
    <w:p w14:paraId="32590B55" w14:textId="1B1D3EB9" w:rsidR="008A5A9B" w:rsidRPr="00B62E12" w:rsidRDefault="008A5A9B" w:rsidP="005D67FF">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B62E12">
        <w:rPr>
          <w:rFonts w:ascii="Arial" w:eastAsia="Arial" w:hAnsi="Arial" w:cs="Arial"/>
          <w:b/>
          <w:bCs/>
          <w:iCs/>
          <w:color w:val="000000"/>
          <w:szCs w:val="22"/>
        </w:rPr>
        <w:t xml:space="preserve">TABELLA </w:t>
      </w:r>
      <w:r w:rsidR="005D67FF" w:rsidRPr="00B62E12">
        <w:rPr>
          <w:rFonts w:ascii="Arial" w:eastAsia="Arial" w:hAnsi="Arial" w:cs="Arial"/>
          <w:b/>
          <w:bCs/>
          <w:iCs/>
          <w:color w:val="000000"/>
          <w:szCs w:val="22"/>
        </w:rPr>
        <w:t>7</w:t>
      </w:r>
    </w:p>
    <w:p w14:paraId="7DD1EA80" w14:textId="77777777" w:rsidR="005D67FF" w:rsidRDefault="005D67FF" w:rsidP="005D67FF">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p>
    <w:p w14:paraId="1D148CCE" w14:textId="039EEEF3"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N.B. Qualora il bilancio di previsione sia approvato entro il 31/12 occorre inserire il dato presunto del fondo di cassa finale dell’esercizio 202</w:t>
      </w:r>
      <w:r w:rsidR="009C38AA">
        <w:rPr>
          <w:rFonts w:ascii="Arial" w:eastAsia="Arial" w:hAnsi="Arial" w:cs="Arial"/>
          <w:b/>
          <w:bCs/>
          <w:i/>
          <w:color w:val="00B0F0"/>
          <w:szCs w:val="22"/>
        </w:rPr>
        <w:t>5</w:t>
      </w:r>
      <w:r w:rsidRPr="00F56672">
        <w:rPr>
          <w:rFonts w:ascii="Arial" w:eastAsia="Arial" w:hAnsi="Arial" w:cs="Arial"/>
          <w:b/>
          <w:bCs/>
          <w:i/>
          <w:color w:val="00B0F0"/>
          <w:szCs w:val="22"/>
        </w:rPr>
        <w:t xml:space="preserve"> (allegato 9 “quadro generale riassuntivo” e “allegato f”).</w:t>
      </w:r>
    </w:p>
    <w:p w14:paraId="386A74E8" w14:textId="77777777"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Nel caso in cui l’Ente preveda la non restituzione dell’anticipazione di cassa entro la chiusura dell’esercizio finanziario il saldo indicato deve essere pari a zero e nei residui passivi presunti occorre indicare la stima dell’importo da restituire al titolo V.</w:t>
      </w:r>
    </w:p>
    <w:p w14:paraId="47DABF8B" w14:textId="350EBF0E" w:rsidR="00DF205A"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DF205A" w:rsidRPr="004B4CFE">
        <w:rPr>
          <w:rFonts w:ascii="Arial" w:eastAsia="Arial" w:hAnsi="Arial" w:cs="Arial"/>
          <w:color w:val="auto"/>
          <w:szCs w:val="22"/>
        </w:rPr>
        <w:t xml:space="preserve"> </w:t>
      </w:r>
    </w:p>
    <w:p w14:paraId="2E30A0B5" w14:textId="4CEC1A5F" w:rsidR="008A5A9B" w:rsidRPr="004B4CFE" w:rsidRDefault="008A5A9B" w:rsidP="008A5A9B">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iCs/>
          <w:color w:val="auto"/>
          <w:szCs w:val="22"/>
        </w:rPr>
        <w:t>si è/ non si è</w:t>
      </w:r>
      <w:r w:rsidRPr="004B4CFE">
        <w:rPr>
          <w:rFonts w:ascii="Arial" w:eastAsia="Arial" w:hAnsi="Arial" w:cs="Arial"/>
          <w:color w:val="auto"/>
          <w:szCs w:val="22"/>
        </w:rPr>
        <w:t xml:space="preserve"> dotato di scritture contabili atte a determinare in ogni momento l’entità della giacenza della cassa vincolata per rendere possibile la conciliazione con la cassa vincolata del tesoriere;</w:t>
      </w:r>
    </w:p>
    <w:p w14:paraId="22DD6064" w14:textId="72CAA207"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il saldo di cassa non negativo </w:t>
      </w:r>
      <w:r w:rsidRPr="004B4CFE">
        <w:rPr>
          <w:rFonts w:ascii="Arial" w:eastAsia="Arial" w:hAnsi="Arial" w:cs="Arial"/>
          <w:b/>
          <w:iCs/>
          <w:color w:val="auto"/>
          <w:szCs w:val="22"/>
        </w:rPr>
        <w:t>garantisce/non garantisce</w:t>
      </w:r>
      <w:r w:rsidRPr="004B4CFE">
        <w:rPr>
          <w:rFonts w:ascii="Arial" w:eastAsia="Arial" w:hAnsi="Arial" w:cs="Arial"/>
          <w:color w:val="auto"/>
          <w:szCs w:val="22"/>
        </w:rPr>
        <w:t xml:space="preserve"> il rispetto del comma 6 dell’art.162 del TUEL</w:t>
      </w:r>
      <w:r w:rsidR="008A5A9B" w:rsidRPr="004B4CFE">
        <w:rPr>
          <w:rFonts w:ascii="Arial" w:eastAsia="Arial" w:hAnsi="Arial" w:cs="Arial"/>
          <w:color w:val="auto"/>
          <w:szCs w:val="22"/>
        </w:rPr>
        <w:t>;</w:t>
      </w:r>
    </w:p>
    <w:p w14:paraId="3A686780" w14:textId="11993F38" w:rsidR="00DF205A" w:rsidRPr="004B4CFE" w:rsidRDefault="00DF205A" w:rsidP="00DF205A">
      <w:pPr>
        <w:ind w:hanging="2"/>
        <w:rPr>
          <w:rFonts w:ascii="Arial" w:eastAsia="Arial" w:hAnsi="Arial" w:cs="Arial"/>
          <w:color w:val="auto"/>
        </w:rPr>
      </w:pPr>
      <w:r w:rsidRPr="004B4CFE">
        <w:rPr>
          <w:rFonts w:ascii="Arial" w:eastAsia="Arial" w:hAnsi="Arial" w:cs="Arial"/>
          <w:color w:val="auto"/>
          <w:szCs w:val="22"/>
        </w:rPr>
        <w:t xml:space="preserve">- </w:t>
      </w:r>
      <w:r w:rsidR="000F434D" w:rsidRPr="004B4CFE">
        <w:rPr>
          <w:rFonts w:ascii="Arial" w:eastAsia="Arial" w:hAnsi="Arial" w:cs="Arial"/>
          <w:color w:val="auto"/>
        </w:rPr>
        <w:t xml:space="preserve">la previsione di cassa relativa all’entrata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effettuata / non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stata effettuata</w:t>
      </w:r>
      <w:r w:rsidR="000F434D" w:rsidRPr="004B4CFE">
        <w:rPr>
          <w:rFonts w:ascii="Arial" w:eastAsia="Arial" w:hAnsi="Arial" w:cs="Arial"/>
          <w:color w:val="auto"/>
        </w:rPr>
        <w:t xml:space="preserve"> tenendo conto del </w:t>
      </w:r>
      <w:r w:rsidR="000F434D" w:rsidRPr="004B4CFE">
        <w:rPr>
          <w:rFonts w:ascii="Arial" w:eastAsia="Arial" w:hAnsi="Arial" w:cs="Arial"/>
          <w:i/>
          <w:iCs/>
          <w:color w:val="auto"/>
        </w:rPr>
        <w:t>trend</w:t>
      </w:r>
      <w:r w:rsidR="000F434D" w:rsidRPr="004B4CFE">
        <w:rPr>
          <w:rFonts w:ascii="Arial" w:eastAsia="Arial" w:hAnsi="Arial" w:cs="Arial"/>
          <w:color w:val="auto"/>
        </w:rPr>
        <w:t xml:space="preserve"> della riscossione nonché di quanto accantonato al Fondo Crediti dubbia esigibilità di competenza e in sede di rendiconto per le relative entrate;</w:t>
      </w:r>
      <w:r w:rsidR="006F3F23" w:rsidRPr="004B4CFE">
        <w:rPr>
          <w:rFonts w:ascii="Arial" w:eastAsia="Arial" w:hAnsi="Arial" w:cs="Arial"/>
          <w:color w:val="auto"/>
        </w:rPr>
        <w:t xml:space="preserve"> </w:t>
      </w:r>
      <w:bookmarkStart w:id="32" w:name="_Hlk212800841"/>
      <w:r w:rsidR="004D7BBE" w:rsidRPr="004B4CFE">
        <w:rPr>
          <w:rFonts w:ascii="Arial" w:eastAsia="Arial" w:hAnsi="Arial" w:cs="Arial"/>
          <w:color w:val="auto"/>
        </w:rPr>
        <w:t>(</w:t>
      </w:r>
      <w:r w:rsidR="006F3F23" w:rsidRPr="00E82796">
        <w:rPr>
          <w:rFonts w:ascii="Arial" w:eastAsia="Arial" w:hAnsi="Arial" w:cs="Arial"/>
          <w:i/>
          <w:iCs/>
          <w:color w:val="00B0F0"/>
        </w:rPr>
        <w:t>in</w:t>
      </w:r>
      <w:r w:rsidR="004D7BBE" w:rsidRPr="00E82796">
        <w:rPr>
          <w:rFonts w:ascii="Arial" w:eastAsia="Arial" w:hAnsi="Arial" w:cs="Arial"/>
          <w:i/>
          <w:iCs/>
          <w:color w:val="00B0F0"/>
        </w:rPr>
        <w:t xml:space="preserve"> caso di risposta negativa fornire chiarimenti………..</w:t>
      </w:r>
      <w:r w:rsidR="004D7BBE" w:rsidRPr="004B4CFE">
        <w:rPr>
          <w:rFonts w:ascii="Arial" w:eastAsia="Arial" w:hAnsi="Arial" w:cs="Arial"/>
          <w:color w:val="auto"/>
        </w:rPr>
        <w:t>)</w:t>
      </w:r>
      <w:bookmarkEnd w:id="32"/>
      <w:r w:rsidRPr="004B4CFE">
        <w:rPr>
          <w:rFonts w:ascii="Arial" w:eastAsia="Arial" w:hAnsi="Arial" w:cs="Arial"/>
          <w:color w:val="auto"/>
        </w:rPr>
        <w:t>;</w:t>
      </w:r>
    </w:p>
    <w:p w14:paraId="0523071E" w14:textId="7E6D9ECC" w:rsidR="000F434D" w:rsidRDefault="00DF205A" w:rsidP="00DF205A">
      <w:pPr>
        <w:ind w:hanging="2"/>
        <w:rPr>
          <w:rFonts w:ascii="Arial" w:eastAsia="Arial" w:hAnsi="Arial" w:cs="Arial"/>
          <w:color w:val="auto"/>
        </w:rPr>
      </w:pPr>
      <w:r w:rsidRPr="004B4CFE">
        <w:rPr>
          <w:rFonts w:ascii="Arial" w:eastAsia="Arial" w:hAnsi="Arial" w:cs="Arial"/>
          <w:color w:val="auto"/>
        </w:rPr>
        <w:t xml:space="preserve">- </w:t>
      </w:r>
      <w:r w:rsidR="000F434D" w:rsidRPr="004B4CFE">
        <w:rPr>
          <w:rFonts w:ascii="Arial" w:eastAsia="Arial" w:hAnsi="Arial" w:cs="Arial"/>
          <w:color w:val="auto"/>
        </w:rPr>
        <w:t xml:space="preserve">gli stanziamenti di cassa </w:t>
      </w:r>
      <w:r w:rsidR="000F434D" w:rsidRPr="004B4CFE">
        <w:rPr>
          <w:rFonts w:ascii="Arial" w:eastAsia="Arial" w:hAnsi="Arial" w:cs="Arial"/>
          <w:b/>
          <w:bCs/>
          <w:color w:val="auto"/>
        </w:rPr>
        <w:t>comprend</w:t>
      </w:r>
      <w:r w:rsidR="006F3F23" w:rsidRPr="004B4CFE">
        <w:rPr>
          <w:rFonts w:ascii="Arial" w:eastAsia="Arial" w:hAnsi="Arial" w:cs="Arial"/>
          <w:b/>
          <w:bCs/>
          <w:color w:val="auto"/>
        </w:rPr>
        <w:t>o</w:t>
      </w:r>
      <w:r w:rsidR="000F434D" w:rsidRPr="004B4CFE">
        <w:rPr>
          <w:rFonts w:ascii="Arial" w:eastAsia="Arial" w:hAnsi="Arial" w:cs="Arial"/>
          <w:b/>
          <w:bCs/>
          <w:color w:val="auto"/>
        </w:rPr>
        <w:t>no/non comprend</w:t>
      </w:r>
      <w:r w:rsidR="006F3F23" w:rsidRPr="004B4CFE">
        <w:rPr>
          <w:rFonts w:ascii="Arial" w:eastAsia="Arial" w:hAnsi="Arial" w:cs="Arial"/>
          <w:b/>
          <w:bCs/>
          <w:color w:val="auto"/>
        </w:rPr>
        <w:t>o</w:t>
      </w:r>
      <w:r w:rsidR="000F434D" w:rsidRPr="004B4CFE">
        <w:rPr>
          <w:rFonts w:ascii="Arial" w:eastAsia="Arial" w:hAnsi="Arial" w:cs="Arial"/>
          <w:b/>
          <w:bCs/>
          <w:color w:val="auto"/>
        </w:rPr>
        <w:t>no</w:t>
      </w:r>
      <w:r w:rsidR="000F434D" w:rsidRPr="004B4CFE">
        <w:rPr>
          <w:rFonts w:ascii="Arial" w:eastAsia="Arial" w:hAnsi="Arial" w:cs="Arial"/>
          <w:color w:val="auto"/>
        </w:rPr>
        <w:t xml:space="preserve"> le previsioni di riscossioni e pagamenti in conto competenza e in conto residui e sono elaborate in considerazione dei presumibili ritardi nella riscossione e nei pagamenti delle obbligazioni già esigibili</w:t>
      </w:r>
      <w:r w:rsidRPr="004B4CFE">
        <w:rPr>
          <w:rFonts w:ascii="Arial" w:eastAsia="Arial" w:hAnsi="Arial" w:cs="Arial"/>
          <w:color w:val="auto"/>
        </w:rPr>
        <w:t>;</w:t>
      </w:r>
    </w:p>
    <w:p w14:paraId="35EB8BAA" w14:textId="772A4795"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i singoli dirigenti o responsabili dei servizi </w:t>
      </w:r>
      <w:r w:rsidRPr="004B4CFE">
        <w:rPr>
          <w:rFonts w:ascii="Arial" w:eastAsia="Arial" w:hAnsi="Arial" w:cs="Arial"/>
          <w:b/>
          <w:bCs/>
          <w:color w:val="auto"/>
          <w:szCs w:val="22"/>
        </w:rPr>
        <w:t>hanno</w:t>
      </w:r>
      <w:r w:rsidR="00E82796">
        <w:rPr>
          <w:rFonts w:ascii="Arial" w:eastAsia="Arial" w:hAnsi="Arial" w:cs="Arial"/>
          <w:b/>
          <w:bCs/>
          <w:color w:val="auto"/>
          <w:szCs w:val="22"/>
        </w:rPr>
        <w:t xml:space="preserve"> partecipato</w:t>
      </w:r>
      <w:r w:rsidRPr="004B4CFE">
        <w:rPr>
          <w:rFonts w:ascii="Arial" w:eastAsia="Arial" w:hAnsi="Arial" w:cs="Arial"/>
          <w:b/>
          <w:bCs/>
          <w:color w:val="auto"/>
          <w:szCs w:val="22"/>
        </w:rPr>
        <w:t>/non hanno</w:t>
      </w:r>
      <w:r w:rsidRPr="004B4CFE">
        <w:rPr>
          <w:rFonts w:ascii="Arial" w:eastAsia="Arial" w:hAnsi="Arial" w:cs="Arial"/>
          <w:color w:val="auto"/>
          <w:szCs w:val="22"/>
        </w:rPr>
        <w:t xml:space="preserve"> </w:t>
      </w:r>
      <w:r w:rsidRPr="004B4CFE">
        <w:rPr>
          <w:rFonts w:ascii="Arial" w:eastAsia="Arial" w:hAnsi="Arial" w:cs="Arial"/>
          <w:b/>
          <w:bCs/>
          <w:color w:val="auto"/>
          <w:szCs w:val="22"/>
        </w:rPr>
        <w:t>partecipato</w:t>
      </w:r>
      <w:r w:rsidRPr="004B4CFE">
        <w:rPr>
          <w:rFonts w:ascii="Arial" w:eastAsia="Arial" w:hAnsi="Arial" w:cs="Arial"/>
          <w:color w:val="auto"/>
          <w:szCs w:val="22"/>
        </w:rPr>
        <w:t xml:space="preserve"> all’elaborazione delle proposte di previsione autorizzatorie di cassa e al programma dei pagamenti al fine di evitare che nell’adozione dei provvedimenti che comportano impegni di spesa vengano causati ritardi nei pagamenti e la formazione di debiti pregressi nonché la maturazione di interessi moratori con conseguente responsabilità disciplinare e amministrativa;</w:t>
      </w:r>
    </w:p>
    <w:p w14:paraId="1A6C4951" w14:textId="3F24F932"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le previsioni di cassa per la spesa corrente, per il rimborso di prestiti e per le altre spese correnti o di investimento finanziate con applicazione dell’avanzo libero o con il margine differenziale di competenza </w:t>
      </w:r>
      <w:r w:rsidR="000F434D" w:rsidRPr="004B4CFE">
        <w:rPr>
          <w:rFonts w:ascii="Arial" w:eastAsia="Arial" w:hAnsi="Arial" w:cs="Arial"/>
          <w:b/>
          <w:bCs/>
          <w:color w:val="auto"/>
          <w:szCs w:val="22"/>
        </w:rPr>
        <w:t>sono state</w:t>
      </w:r>
      <w:r w:rsidR="00E82796">
        <w:rPr>
          <w:rFonts w:ascii="Arial" w:eastAsia="Arial" w:hAnsi="Arial" w:cs="Arial"/>
          <w:b/>
          <w:bCs/>
          <w:color w:val="auto"/>
          <w:szCs w:val="22"/>
        </w:rPr>
        <w:t xml:space="preserve"> determinate</w:t>
      </w:r>
      <w:r w:rsidR="000F434D" w:rsidRPr="004B4CFE">
        <w:rPr>
          <w:rFonts w:ascii="Arial" w:eastAsia="Arial" w:hAnsi="Arial" w:cs="Arial"/>
          <w:b/>
          <w:bCs/>
          <w:color w:val="auto"/>
          <w:szCs w:val="22"/>
        </w:rPr>
        <w:t>/non sono state</w:t>
      </w:r>
      <w:r w:rsidR="000F434D" w:rsidRPr="004B4CFE">
        <w:rPr>
          <w:rFonts w:ascii="Arial" w:eastAsia="Arial" w:hAnsi="Arial" w:cs="Arial"/>
          <w:color w:val="auto"/>
          <w:szCs w:val="22"/>
        </w:rPr>
        <w:t xml:space="preserve"> </w:t>
      </w:r>
      <w:r w:rsidR="000F434D" w:rsidRPr="00E82796">
        <w:rPr>
          <w:rFonts w:ascii="Arial" w:eastAsia="Arial" w:hAnsi="Arial" w:cs="Arial"/>
          <w:b/>
          <w:bCs/>
          <w:color w:val="auto"/>
          <w:szCs w:val="22"/>
        </w:rPr>
        <w:t>determinate</w:t>
      </w:r>
      <w:r w:rsidR="000F434D" w:rsidRPr="004B4CFE">
        <w:rPr>
          <w:rFonts w:ascii="Arial" w:eastAsia="Arial" w:hAnsi="Arial" w:cs="Arial"/>
          <w:color w:val="auto"/>
          <w:szCs w:val="22"/>
        </w:rPr>
        <w:t xml:space="preserve"> sulla base della sommatoria delle entrate correnti che si presume di riscuotere e della giacenza iniziale di cassa libera.</w:t>
      </w:r>
    </w:p>
    <w:p w14:paraId="61EB5F39" w14:textId="205D23EC" w:rsidR="004D7BBE" w:rsidRPr="004D7BBE" w:rsidRDefault="00DF205A" w:rsidP="004D7BBE">
      <w:pPr>
        <w:suppressAutoHyphens/>
        <w:spacing w:after="0" w:line="1" w:lineRule="atLeast"/>
        <w:textDirection w:val="btLr"/>
        <w:textAlignment w:val="top"/>
        <w:rPr>
          <w:rFonts w:ascii="Arial" w:eastAsia="Arial" w:hAnsi="Arial" w:cs="Arial"/>
        </w:rPr>
      </w:pPr>
      <w:r w:rsidRPr="004B4CFE">
        <w:rPr>
          <w:rFonts w:ascii="Arial" w:eastAsia="Arial" w:hAnsi="Arial" w:cs="Arial"/>
          <w:color w:val="auto"/>
        </w:rPr>
        <w:lastRenderedPageBreak/>
        <w:t>-</w:t>
      </w:r>
      <w:r w:rsidR="000F434D" w:rsidRPr="004B4CFE">
        <w:rPr>
          <w:rFonts w:ascii="Arial" w:eastAsia="Arial" w:hAnsi="Arial" w:cs="Arial"/>
          <w:color w:val="auto"/>
        </w:rPr>
        <w:t xml:space="preserve"> le previsioni di cassa per la spesa del titolo II </w:t>
      </w:r>
      <w:r w:rsidR="000F434D" w:rsidRPr="004B4CFE">
        <w:rPr>
          <w:rFonts w:ascii="Arial" w:eastAsia="Arial" w:hAnsi="Arial" w:cs="Arial"/>
          <w:b/>
          <w:bCs/>
          <w:color w:val="auto"/>
        </w:rPr>
        <w:t>tengono conto</w:t>
      </w:r>
      <w:r w:rsidR="00E82796">
        <w:rPr>
          <w:rFonts w:ascii="Arial" w:eastAsia="Arial" w:hAnsi="Arial" w:cs="Arial"/>
          <w:b/>
          <w:bCs/>
          <w:color w:val="auto"/>
        </w:rPr>
        <w:t>/non tengono conto</w:t>
      </w:r>
      <w:r w:rsidR="000F434D" w:rsidRPr="004B4CFE">
        <w:rPr>
          <w:rFonts w:ascii="Arial" w:eastAsia="Arial" w:hAnsi="Arial" w:cs="Arial"/>
          <w:color w:val="auto"/>
        </w:rPr>
        <w:t xml:space="preserve"> dei cronoprogrammi dei singoli interventi e delle correlate imputazioni agli esercizi successivi.</w:t>
      </w:r>
      <w:r w:rsidR="004D7BBE" w:rsidRPr="004D7BBE">
        <w:rPr>
          <w:rFonts w:ascii="Arial" w:eastAsia="Arial" w:hAnsi="Arial" w:cs="Arial"/>
        </w:rPr>
        <w:t xml:space="preserve"> (</w:t>
      </w:r>
      <w:r w:rsidR="004D7BBE" w:rsidRPr="004D7BBE">
        <w:rPr>
          <w:rFonts w:ascii="Arial" w:eastAsia="Arial" w:hAnsi="Arial" w:cs="Arial"/>
          <w:i/>
          <w:iCs/>
          <w:color w:val="00B0F0"/>
        </w:rPr>
        <w:t>nel caso di risposta negativa fornire chiarimenti………..</w:t>
      </w:r>
      <w:r w:rsidR="004D7BBE" w:rsidRPr="004D7BBE">
        <w:rPr>
          <w:rFonts w:ascii="Arial" w:eastAsia="Arial" w:hAnsi="Arial" w:cs="Arial"/>
        </w:rPr>
        <w:t>)</w:t>
      </w:r>
    </w:p>
    <w:p w14:paraId="0747FE66" w14:textId="6030DFBE" w:rsidR="000F434D" w:rsidRDefault="00DF205A" w:rsidP="000F434D">
      <w:pPr>
        <w:ind w:hanging="2"/>
        <w:rPr>
          <w:rFonts w:ascii="Arial" w:eastAsia="Arial" w:hAnsi="Arial" w:cs="Arial"/>
          <w:color w:val="auto"/>
          <w:szCs w:val="22"/>
        </w:rPr>
      </w:pPr>
      <w:r w:rsidRPr="004B4CFE">
        <w:rPr>
          <w:rFonts w:ascii="Arial" w:eastAsia="Arial" w:hAnsi="Arial" w:cs="Arial"/>
          <w:color w:val="auto"/>
          <w:szCs w:val="22"/>
        </w:rPr>
        <w:t>-</w:t>
      </w:r>
      <w:r w:rsidR="000F434D" w:rsidRPr="004B4CFE">
        <w:rPr>
          <w:rFonts w:ascii="Arial" w:eastAsia="Arial" w:hAnsi="Arial" w:cs="Arial"/>
          <w:b/>
          <w:color w:val="auto"/>
          <w:szCs w:val="22"/>
        </w:rPr>
        <w:t xml:space="preserve"> </w:t>
      </w:r>
      <w:r w:rsidR="000F434D" w:rsidRPr="004B4CFE">
        <w:rPr>
          <w:rFonts w:ascii="Arial" w:eastAsia="Arial" w:hAnsi="Arial" w:cs="Arial"/>
          <w:color w:val="auto"/>
          <w:szCs w:val="22"/>
        </w:rPr>
        <w:t xml:space="preserve">le previsioni di cassa per le entrate da contributi in conto capitale e da ricorso all’indebitamento </w:t>
      </w:r>
      <w:r w:rsidR="000F434D" w:rsidRPr="004B4CFE">
        <w:rPr>
          <w:rFonts w:ascii="Arial" w:eastAsia="Arial" w:hAnsi="Arial" w:cs="Arial"/>
          <w:b/>
          <w:bCs/>
          <w:color w:val="auto"/>
          <w:szCs w:val="22"/>
        </w:rPr>
        <w:t>sono coerenti /non sono coerenti</w:t>
      </w:r>
      <w:r w:rsidR="000F434D" w:rsidRPr="004B4CFE">
        <w:rPr>
          <w:rFonts w:ascii="Arial" w:eastAsia="Arial" w:hAnsi="Arial" w:cs="Arial"/>
          <w:color w:val="auto"/>
          <w:szCs w:val="22"/>
        </w:rPr>
        <w:t xml:space="preserve"> con le previsioni delle correlate spese del titolo II finanziate dalle medesime entrate senza generare fittizio surplus di entrata vincolata con il conseguente incremento delle previsioni di cassa della spesa corrente</w:t>
      </w:r>
      <w:r w:rsidR="00145E1F">
        <w:rPr>
          <w:rFonts w:ascii="Arial" w:eastAsia="Arial" w:hAnsi="Arial" w:cs="Arial"/>
          <w:color w:val="auto"/>
          <w:szCs w:val="22"/>
        </w:rPr>
        <w:t>.</w:t>
      </w:r>
    </w:p>
    <w:p w14:paraId="621AF859" w14:textId="47C73CB9"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00741BD7">
        <w:rPr>
          <w:rFonts w:ascii="Arial" w:eastAsia="Arial" w:hAnsi="Arial" w:cs="Arial"/>
          <w:color w:val="auto"/>
          <w:szCs w:val="22"/>
        </w:rPr>
        <w:t>ha verificato</w:t>
      </w:r>
      <w:r w:rsidR="00741BD7" w:rsidRPr="004B4CFE">
        <w:rPr>
          <w:rFonts w:ascii="Arial" w:eastAsia="Arial" w:hAnsi="Arial" w:cs="Arial"/>
          <w:color w:val="auto"/>
          <w:szCs w:val="22"/>
        </w:rPr>
        <w:t xml:space="preserve"> </w:t>
      </w:r>
      <w:r w:rsidRPr="004B4CFE">
        <w:rPr>
          <w:rFonts w:ascii="Arial" w:eastAsia="Arial" w:hAnsi="Arial" w:cs="Arial"/>
          <w:color w:val="auto"/>
          <w:szCs w:val="22"/>
        </w:rPr>
        <w:t xml:space="preserve">che: </w:t>
      </w:r>
    </w:p>
    <w:p w14:paraId="3FB663D2" w14:textId="72893AE2"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le previsioni di cassa </w:t>
      </w:r>
      <w:r w:rsidRPr="004B4CFE">
        <w:rPr>
          <w:rFonts w:ascii="Arial" w:eastAsia="Arial" w:hAnsi="Arial" w:cs="Arial"/>
          <w:b/>
          <w:bCs/>
          <w:color w:val="auto"/>
          <w:szCs w:val="22"/>
        </w:rPr>
        <w:t>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no/non 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w:t>
      </w:r>
      <w:r w:rsidRPr="004B4CFE">
        <w:rPr>
          <w:rFonts w:ascii="Arial" w:eastAsia="Arial" w:hAnsi="Arial" w:cs="Arial"/>
          <w:color w:val="auto"/>
          <w:szCs w:val="22"/>
        </w:rPr>
        <w:t xml:space="preserve"> gli effettivi andamenti delle entrate e delle spese;</w:t>
      </w:r>
    </w:p>
    <w:p w14:paraId="4A629F48" w14:textId="70D76484" w:rsidR="000F434D" w:rsidRDefault="000F434D" w:rsidP="00123ADD">
      <w:pPr>
        <w:ind w:hanging="2"/>
        <w:rPr>
          <w:rFonts w:ascii="Arial" w:eastAsia="Arial" w:hAnsi="Arial" w:cs="Arial"/>
          <w:i/>
          <w:color w:val="00B0F0"/>
          <w:szCs w:val="22"/>
          <w:highlight w:val="white"/>
        </w:rPr>
      </w:pPr>
      <w:r w:rsidRPr="004B4CFE">
        <w:rPr>
          <w:rFonts w:ascii="Arial" w:eastAsia="Arial" w:hAnsi="Arial" w:cs="Arial"/>
          <w:color w:val="auto"/>
          <w:szCs w:val="22"/>
        </w:rPr>
        <w:t>- non s</w:t>
      </w:r>
      <w:r w:rsidR="006F3F23" w:rsidRPr="004B4CFE">
        <w:rPr>
          <w:rFonts w:ascii="Arial" w:eastAsia="Arial" w:hAnsi="Arial" w:cs="Arial"/>
          <w:color w:val="auto"/>
          <w:szCs w:val="22"/>
        </w:rPr>
        <w:t>o</w:t>
      </w:r>
      <w:r w:rsidRPr="004B4CFE">
        <w:rPr>
          <w:rFonts w:ascii="Arial" w:eastAsia="Arial" w:hAnsi="Arial" w:cs="Arial"/>
          <w:color w:val="auto"/>
          <w:szCs w:val="22"/>
        </w:rPr>
        <w:t>no state effettuate sovrastime nella previsione della riscossione di entrate con il rischio di consentire autorizzazioni di spesa per le quali si genereranno ritardi nei pagamenti e formazione di debiti pregressi in violazione dell’art. 183, co. 8, del TUEL.</w:t>
      </w:r>
      <w:r w:rsidR="00123ADD">
        <w:rPr>
          <w:rFonts w:ascii="Arial" w:eastAsia="Arial" w:hAnsi="Arial" w:cs="Arial"/>
          <w:color w:val="auto"/>
          <w:szCs w:val="22"/>
        </w:rPr>
        <w:t xml:space="preserve"> (</w:t>
      </w:r>
      <w:r w:rsidRPr="006314B9">
        <w:rPr>
          <w:rFonts w:ascii="Arial" w:eastAsia="Arial" w:hAnsi="Arial" w:cs="Arial"/>
          <w:i/>
          <w:color w:val="00B0F0"/>
          <w:szCs w:val="22"/>
          <w:highlight w:val="white"/>
        </w:rPr>
        <w:t>In caso di sovrastime fornire chiarimenti………..</w:t>
      </w:r>
      <w:r w:rsidR="00123ADD" w:rsidRPr="00123ADD">
        <w:rPr>
          <w:rFonts w:ascii="Arial" w:eastAsia="Arial" w:hAnsi="Arial" w:cs="Arial"/>
          <w:i/>
          <w:color w:val="auto"/>
          <w:szCs w:val="22"/>
          <w:highlight w:val="white"/>
        </w:rPr>
        <w:t>)</w:t>
      </w:r>
    </w:p>
    <w:p w14:paraId="7151BE3F" w14:textId="77777777" w:rsidR="003A4A40" w:rsidRDefault="003A4A40" w:rsidP="003A4A40">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Pr>
          <w:rFonts w:ascii="Arial" w:eastAsia="Arial" w:hAnsi="Arial" w:cs="Arial"/>
          <w:i/>
          <w:iCs/>
          <w:color w:val="00B0F0"/>
          <w:szCs w:val="22"/>
        </w:rPr>
        <w:t>……</w:t>
      </w:r>
    </w:p>
    <w:p w14:paraId="1EF19AAA" w14:textId="3CE21F4B" w:rsidR="00861C03" w:rsidRPr="00861C03" w:rsidRDefault="00861C03" w:rsidP="00861C03">
      <w:pPr>
        <w:ind w:hanging="2"/>
        <w:rPr>
          <w:rFonts w:ascii="Arial" w:eastAsia="Arial" w:hAnsi="Arial" w:cs="Arial"/>
          <w:color w:val="auto"/>
          <w:szCs w:val="22"/>
        </w:rPr>
      </w:pPr>
      <w:r w:rsidRPr="00861C03">
        <w:rPr>
          <w:rFonts w:ascii="Arial" w:eastAsia="Arial" w:hAnsi="Arial" w:cs="Arial"/>
          <w:color w:val="auto"/>
          <w:szCs w:val="22"/>
        </w:rPr>
        <w:t>L’</w:t>
      </w:r>
      <w:r>
        <w:rPr>
          <w:rFonts w:ascii="Arial" w:eastAsia="Arial" w:hAnsi="Arial" w:cs="Arial"/>
          <w:color w:val="auto"/>
          <w:szCs w:val="22"/>
        </w:rPr>
        <w:t>O</w:t>
      </w:r>
      <w:r w:rsidRPr="00861C03">
        <w:rPr>
          <w:rFonts w:ascii="Arial" w:eastAsia="Arial" w:hAnsi="Arial" w:cs="Arial"/>
          <w:color w:val="auto"/>
          <w:szCs w:val="22"/>
        </w:rPr>
        <w:t xml:space="preserve">rgano di revisione ha verificato che l’Ente </w:t>
      </w:r>
      <w:r w:rsidRPr="00123ADD">
        <w:rPr>
          <w:rFonts w:ascii="Arial" w:eastAsia="Arial" w:hAnsi="Arial" w:cs="Arial"/>
          <w:b/>
          <w:bCs/>
          <w:color w:val="auto"/>
          <w:szCs w:val="22"/>
        </w:rPr>
        <w:t>ha/non ha impostato</w:t>
      </w:r>
      <w:r w:rsidRPr="00861C03">
        <w:rPr>
          <w:rFonts w:ascii="Arial" w:eastAsia="Arial" w:hAnsi="Arial" w:cs="Arial"/>
          <w:color w:val="auto"/>
          <w:szCs w:val="22"/>
        </w:rPr>
        <w:t xml:space="preserve"> le previsioni di cassa 2026 </w:t>
      </w:r>
      <w:r w:rsidR="00A15C24">
        <w:rPr>
          <w:rFonts w:ascii="Arial" w:eastAsia="Arial" w:hAnsi="Arial" w:cs="Arial"/>
          <w:color w:val="auto"/>
          <w:szCs w:val="22"/>
        </w:rPr>
        <w:t>considerando le</w:t>
      </w:r>
      <w:r w:rsidRPr="00861C03">
        <w:rPr>
          <w:rFonts w:ascii="Arial" w:eastAsia="Arial" w:hAnsi="Arial" w:cs="Arial"/>
          <w:color w:val="auto"/>
          <w:szCs w:val="22"/>
        </w:rPr>
        <w:t xml:space="preserve"> reali possibilità di incasso e di pagamento in vista dell’elaborazione del PAFC</w:t>
      </w:r>
      <w:r w:rsidR="00A15C24">
        <w:rPr>
          <w:rFonts w:ascii="Arial" w:eastAsia="Arial" w:hAnsi="Arial" w:cs="Arial"/>
          <w:color w:val="auto"/>
          <w:szCs w:val="22"/>
        </w:rPr>
        <w:t xml:space="preserve"> (piano annuale flussi di cassa)</w:t>
      </w:r>
      <w:r w:rsidRPr="00861C03">
        <w:rPr>
          <w:rFonts w:ascii="Arial" w:eastAsia="Arial" w:hAnsi="Arial" w:cs="Arial"/>
          <w:color w:val="auto"/>
          <w:szCs w:val="22"/>
        </w:rPr>
        <w:t xml:space="preserve"> 2026 che dovrà anche tenero conto dell’effettivo andamento della cassa dell’esercizio 2024 come </w:t>
      </w:r>
      <w:r w:rsidR="00A15C24">
        <w:rPr>
          <w:rFonts w:ascii="Arial" w:eastAsia="Arial" w:hAnsi="Arial" w:cs="Arial"/>
          <w:color w:val="auto"/>
          <w:szCs w:val="22"/>
        </w:rPr>
        <w:t>esercizio</w:t>
      </w:r>
      <w:r w:rsidR="00A15C24" w:rsidRPr="00861C03">
        <w:rPr>
          <w:rFonts w:ascii="Arial" w:eastAsia="Arial" w:hAnsi="Arial" w:cs="Arial"/>
          <w:color w:val="auto"/>
          <w:szCs w:val="22"/>
        </w:rPr>
        <w:t xml:space="preserve"> </w:t>
      </w:r>
      <w:r w:rsidRPr="00861C03">
        <w:rPr>
          <w:rFonts w:ascii="Arial" w:eastAsia="Arial" w:hAnsi="Arial" w:cs="Arial"/>
          <w:color w:val="auto"/>
          <w:szCs w:val="22"/>
        </w:rPr>
        <w:t>di confronto.</w:t>
      </w:r>
    </w:p>
    <w:p w14:paraId="67FC6EFF" w14:textId="262F52C3" w:rsidR="003A4A40" w:rsidRDefault="00626F3F" w:rsidP="00CE60CD">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Pr>
          <w:rFonts w:ascii="Arial" w:eastAsia="Arial" w:hAnsi="Arial" w:cs="Arial"/>
          <w:i/>
          <w:iCs/>
          <w:color w:val="auto"/>
          <w:szCs w:val="22"/>
        </w:rPr>
        <w:t>L</w:t>
      </w:r>
      <w:r w:rsidR="003A4A40" w:rsidRPr="00AD74C6">
        <w:rPr>
          <w:rFonts w:ascii="Arial" w:eastAsia="Arial" w:hAnsi="Arial" w:cs="Arial"/>
          <w:i/>
          <w:iCs/>
          <w:color w:val="auto"/>
          <w:szCs w:val="22"/>
        </w:rPr>
        <w:t>’art.1</w:t>
      </w:r>
      <w:r w:rsidR="00A5259F">
        <w:rPr>
          <w:rFonts w:ascii="Arial" w:eastAsia="Arial" w:hAnsi="Arial" w:cs="Arial"/>
          <w:i/>
          <w:iCs/>
          <w:color w:val="auto"/>
          <w:szCs w:val="22"/>
        </w:rPr>
        <w:t xml:space="preserve"> comma </w:t>
      </w:r>
      <w:r>
        <w:rPr>
          <w:rFonts w:ascii="Arial" w:eastAsia="Arial" w:hAnsi="Arial" w:cs="Arial"/>
          <w:i/>
          <w:iCs/>
          <w:color w:val="auto"/>
          <w:szCs w:val="22"/>
        </w:rPr>
        <w:t xml:space="preserve">659 </w:t>
      </w:r>
      <w:r w:rsidR="00CE60CD">
        <w:rPr>
          <w:rFonts w:ascii="Arial" w:eastAsia="Arial" w:hAnsi="Arial" w:cs="Arial"/>
          <w:i/>
          <w:iCs/>
          <w:color w:val="auto"/>
          <w:szCs w:val="22"/>
        </w:rPr>
        <w:t xml:space="preserve">lett. c e d) </w:t>
      </w:r>
      <w:r>
        <w:rPr>
          <w:rFonts w:ascii="Arial" w:eastAsia="Arial" w:hAnsi="Arial" w:cs="Arial"/>
          <w:i/>
          <w:iCs/>
          <w:color w:val="auto"/>
          <w:szCs w:val="22"/>
        </w:rPr>
        <w:t>della Legge di bilancio 2026</w:t>
      </w:r>
      <w:r w:rsidR="00A5259F">
        <w:rPr>
          <w:rFonts w:ascii="Arial" w:eastAsia="Arial" w:hAnsi="Arial" w:cs="Arial"/>
          <w:i/>
          <w:iCs/>
          <w:color w:val="auto"/>
          <w:szCs w:val="22"/>
        </w:rPr>
        <w:t xml:space="preserve"> prevede che entro</w:t>
      </w:r>
      <w:r w:rsidR="00A5259F" w:rsidRPr="00A5259F">
        <w:rPr>
          <w:rFonts w:ascii="Arial" w:eastAsia="Arial" w:hAnsi="Arial" w:cs="Arial"/>
          <w:i/>
          <w:iCs/>
          <w:color w:val="auto"/>
          <w:szCs w:val="22"/>
        </w:rPr>
        <w:t xml:space="preserve"> il 31 marzo 2026</w:t>
      </w:r>
      <w:r w:rsidRPr="00626F3F">
        <w:rPr>
          <w:rFonts w:ascii="Arial" w:eastAsia="Arial" w:hAnsi="Arial" w:cs="Arial"/>
          <w:i/>
          <w:iCs/>
          <w:color w:val="auto"/>
          <w:szCs w:val="22"/>
        </w:rPr>
        <w:t>, ai sensi degli articoli 3, comma 6, e</w:t>
      </w:r>
      <w:r>
        <w:rPr>
          <w:rFonts w:ascii="Arial" w:eastAsia="Arial" w:hAnsi="Arial" w:cs="Arial"/>
          <w:i/>
          <w:iCs/>
          <w:color w:val="auto"/>
          <w:szCs w:val="22"/>
        </w:rPr>
        <w:t xml:space="preserve"> </w:t>
      </w:r>
      <w:r w:rsidRPr="00626F3F">
        <w:rPr>
          <w:rFonts w:ascii="Arial" w:eastAsia="Arial" w:hAnsi="Arial" w:cs="Arial"/>
          <w:i/>
          <w:iCs/>
          <w:color w:val="auto"/>
          <w:szCs w:val="22"/>
        </w:rPr>
        <w:t>11, comma 11, del decreto legislativo 23 giugno 2011, n. 118, con</w:t>
      </w:r>
      <w:r>
        <w:rPr>
          <w:rFonts w:ascii="Arial" w:eastAsia="Arial" w:hAnsi="Arial" w:cs="Arial"/>
          <w:i/>
          <w:iCs/>
          <w:color w:val="auto"/>
          <w:szCs w:val="22"/>
        </w:rPr>
        <w:t xml:space="preserve"> </w:t>
      </w:r>
      <w:r w:rsidRPr="00626F3F">
        <w:rPr>
          <w:rFonts w:ascii="Arial" w:eastAsia="Arial" w:hAnsi="Arial" w:cs="Arial"/>
          <w:i/>
          <w:iCs/>
          <w:color w:val="auto"/>
          <w:szCs w:val="22"/>
        </w:rPr>
        <w:t xml:space="preserve">decreto del Ministero dell'economia e delle finanze </w:t>
      </w:r>
      <w:r>
        <w:rPr>
          <w:rFonts w:ascii="Arial" w:eastAsia="Arial" w:hAnsi="Arial" w:cs="Arial"/>
          <w:i/>
          <w:iCs/>
          <w:color w:val="auto"/>
          <w:szCs w:val="22"/>
        </w:rPr>
        <w:t>–</w:t>
      </w:r>
      <w:r w:rsidRPr="00626F3F">
        <w:rPr>
          <w:rFonts w:ascii="Arial" w:eastAsia="Arial" w:hAnsi="Arial" w:cs="Arial"/>
          <w:i/>
          <w:iCs/>
          <w:color w:val="auto"/>
          <w:szCs w:val="22"/>
        </w:rPr>
        <w:t xml:space="preserve"> Dipartimento</w:t>
      </w:r>
      <w:r>
        <w:rPr>
          <w:rFonts w:ascii="Arial" w:eastAsia="Arial" w:hAnsi="Arial" w:cs="Arial"/>
          <w:i/>
          <w:iCs/>
          <w:color w:val="auto"/>
          <w:szCs w:val="22"/>
        </w:rPr>
        <w:t xml:space="preserve"> </w:t>
      </w:r>
      <w:r w:rsidRPr="00626F3F">
        <w:rPr>
          <w:rFonts w:ascii="Arial" w:eastAsia="Arial" w:hAnsi="Arial" w:cs="Arial"/>
          <w:i/>
          <w:iCs/>
          <w:color w:val="auto"/>
          <w:szCs w:val="22"/>
        </w:rPr>
        <w:t>della Ragioneria generale dello Stato, di concerto con il Ministero</w:t>
      </w:r>
      <w:r>
        <w:rPr>
          <w:rFonts w:ascii="Arial" w:eastAsia="Arial" w:hAnsi="Arial" w:cs="Arial"/>
          <w:i/>
          <w:iCs/>
          <w:color w:val="auto"/>
          <w:szCs w:val="22"/>
        </w:rPr>
        <w:t xml:space="preserve"> </w:t>
      </w:r>
      <w:r w:rsidRPr="00626F3F">
        <w:rPr>
          <w:rFonts w:ascii="Arial" w:eastAsia="Arial" w:hAnsi="Arial" w:cs="Arial"/>
          <w:i/>
          <w:iCs/>
          <w:color w:val="auto"/>
          <w:szCs w:val="22"/>
        </w:rPr>
        <w:t>dell'interno - Dipartimento per gli affari interni e territoriali e</w:t>
      </w:r>
      <w:r>
        <w:rPr>
          <w:rFonts w:ascii="Arial" w:eastAsia="Arial" w:hAnsi="Arial" w:cs="Arial"/>
          <w:i/>
          <w:iCs/>
          <w:color w:val="auto"/>
          <w:szCs w:val="22"/>
        </w:rPr>
        <w:t xml:space="preserve"> </w:t>
      </w:r>
      <w:r w:rsidRPr="00626F3F">
        <w:rPr>
          <w:rFonts w:ascii="Arial" w:eastAsia="Arial" w:hAnsi="Arial" w:cs="Arial"/>
          <w:i/>
          <w:iCs/>
          <w:color w:val="auto"/>
          <w:szCs w:val="22"/>
        </w:rPr>
        <w:t>la Presidenza del Consiglio dei ministri - Dipartimento per gli</w:t>
      </w:r>
      <w:r>
        <w:rPr>
          <w:rFonts w:ascii="Arial" w:eastAsia="Arial" w:hAnsi="Arial" w:cs="Arial"/>
          <w:i/>
          <w:iCs/>
          <w:color w:val="auto"/>
          <w:szCs w:val="22"/>
        </w:rPr>
        <w:t xml:space="preserve"> </w:t>
      </w:r>
      <w:r w:rsidRPr="00626F3F">
        <w:rPr>
          <w:rFonts w:ascii="Arial" w:eastAsia="Arial" w:hAnsi="Arial" w:cs="Arial"/>
          <w:i/>
          <w:iCs/>
          <w:color w:val="auto"/>
          <w:szCs w:val="22"/>
        </w:rPr>
        <w:t>affari regionali e le autonomie, su proposta della Commissione per</w:t>
      </w:r>
      <w:r>
        <w:rPr>
          <w:rFonts w:ascii="Arial" w:eastAsia="Arial" w:hAnsi="Arial" w:cs="Arial"/>
          <w:i/>
          <w:iCs/>
          <w:color w:val="auto"/>
          <w:szCs w:val="22"/>
        </w:rPr>
        <w:t xml:space="preserve"> </w:t>
      </w:r>
      <w:r w:rsidRPr="00626F3F">
        <w:rPr>
          <w:rFonts w:ascii="Arial" w:eastAsia="Arial" w:hAnsi="Arial" w:cs="Arial"/>
          <w:i/>
          <w:iCs/>
          <w:color w:val="auto"/>
          <w:szCs w:val="22"/>
        </w:rPr>
        <w:t>l'armonizzazione degli enti territoriali di cui all'articolo 3-bis</w:t>
      </w:r>
      <w:r w:rsidR="00CE60CD">
        <w:rPr>
          <w:rFonts w:ascii="Arial" w:eastAsia="Arial" w:hAnsi="Arial" w:cs="Arial"/>
          <w:i/>
          <w:iCs/>
          <w:color w:val="auto"/>
          <w:szCs w:val="22"/>
        </w:rPr>
        <w:t xml:space="preserve"> </w:t>
      </w:r>
      <w:r w:rsidRPr="00626F3F">
        <w:rPr>
          <w:rFonts w:ascii="Arial" w:eastAsia="Arial" w:hAnsi="Arial" w:cs="Arial"/>
          <w:i/>
          <w:iCs/>
          <w:color w:val="auto"/>
          <w:szCs w:val="22"/>
        </w:rPr>
        <w:t>del citato decreto legislativo n. 118 del 2011,</w:t>
      </w:r>
      <w:r>
        <w:rPr>
          <w:rFonts w:ascii="Arial" w:eastAsia="Arial" w:hAnsi="Arial" w:cs="Arial"/>
          <w:i/>
          <w:iCs/>
          <w:color w:val="auto"/>
          <w:szCs w:val="22"/>
        </w:rPr>
        <w:t xml:space="preserve">vengano aggiornati </w:t>
      </w:r>
      <w:r w:rsidR="00A5259F">
        <w:rPr>
          <w:rFonts w:ascii="Arial" w:eastAsia="Arial" w:hAnsi="Arial" w:cs="Arial"/>
          <w:i/>
          <w:iCs/>
          <w:color w:val="auto"/>
          <w:szCs w:val="22"/>
        </w:rPr>
        <w:t>i principi 4/1 e 4/2 per</w:t>
      </w:r>
      <w:r>
        <w:rPr>
          <w:rFonts w:ascii="Arial" w:eastAsia="Arial" w:hAnsi="Arial" w:cs="Arial"/>
          <w:i/>
          <w:iCs/>
          <w:color w:val="auto"/>
          <w:szCs w:val="22"/>
        </w:rPr>
        <w:t xml:space="preserve"> </w:t>
      </w:r>
      <w:r w:rsidR="00A5259F" w:rsidRPr="00A5259F">
        <w:rPr>
          <w:rFonts w:ascii="Arial" w:eastAsia="Arial" w:hAnsi="Arial" w:cs="Arial"/>
          <w:i/>
          <w:iCs/>
          <w:color w:val="auto"/>
          <w:szCs w:val="22"/>
        </w:rPr>
        <w:t>promuovere un maggiore livello di accuratezza nell’elaborazione delle previsioni di bilancio in termini di cassa, garantendone la coerenza con gli stanziamenti di competenza</w:t>
      </w:r>
      <w:r w:rsidR="00826CB4">
        <w:rPr>
          <w:rFonts w:ascii="Arial" w:eastAsia="Arial" w:hAnsi="Arial" w:cs="Arial"/>
          <w:i/>
          <w:iCs/>
          <w:color w:val="auto"/>
          <w:szCs w:val="22"/>
        </w:rPr>
        <w:t xml:space="preserve"> e</w:t>
      </w:r>
      <w:r w:rsidR="00A5259F" w:rsidRPr="00A5259F">
        <w:rPr>
          <w:rFonts w:ascii="Arial" w:eastAsia="Arial" w:hAnsi="Arial" w:cs="Arial"/>
          <w:i/>
          <w:iCs/>
          <w:color w:val="auto"/>
          <w:szCs w:val="22"/>
        </w:rPr>
        <w:t xml:space="preserve"> per favorire il rispetto dei tempi di pagamento dei debiti commerciali attraverso l’indicazione delle attività e delle tempistiche del processo di spesa.</w:t>
      </w:r>
      <w:r w:rsidR="00826CB4">
        <w:rPr>
          <w:rFonts w:ascii="Arial" w:eastAsia="Arial" w:hAnsi="Arial" w:cs="Arial"/>
          <w:i/>
          <w:iCs/>
          <w:color w:val="auto"/>
          <w:szCs w:val="22"/>
        </w:rPr>
        <w:t xml:space="preserve"> </w:t>
      </w:r>
    </w:p>
    <w:p w14:paraId="093138FD" w14:textId="77777777" w:rsidR="003A4A40" w:rsidRPr="006314B9" w:rsidRDefault="003A4A40" w:rsidP="000F434D">
      <w:pPr>
        <w:pBdr>
          <w:top w:val="nil"/>
          <w:left w:val="nil"/>
          <w:bottom w:val="nil"/>
          <w:right w:val="nil"/>
          <w:between w:val="nil"/>
        </w:pBdr>
        <w:spacing w:line="240" w:lineRule="auto"/>
        <w:ind w:hanging="2"/>
        <w:rPr>
          <w:rFonts w:ascii="Arial" w:eastAsia="Arial" w:hAnsi="Arial" w:cs="Arial"/>
          <w:i/>
          <w:color w:val="00B0F0"/>
          <w:szCs w:val="22"/>
          <w:highlight w:val="white"/>
        </w:rPr>
      </w:pPr>
    </w:p>
    <w:p w14:paraId="7E401133" w14:textId="715FEBD4" w:rsidR="00DF205A" w:rsidRDefault="000F434D" w:rsidP="00DF205A">
      <w:pPr>
        <w:pBdr>
          <w:top w:val="nil"/>
          <w:left w:val="nil"/>
          <w:bottom w:val="nil"/>
          <w:right w:val="nil"/>
          <w:between w:val="nil"/>
        </w:pBdr>
        <w:spacing w:line="240" w:lineRule="auto"/>
        <w:ind w:hanging="2"/>
        <w:rPr>
          <w:rFonts w:ascii="Arial" w:eastAsia="Arial" w:hAnsi="Arial" w:cs="Arial"/>
          <w:i/>
          <w:color w:val="00B0F0"/>
          <w:szCs w:val="22"/>
          <w:highlight w:val="white"/>
        </w:rPr>
      </w:pPr>
      <w:r w:rsidRPr="00E82796">
        <w:rPr>
          <w:rFonts w:ascii="Arial" w:eastAsia="Arial" w:hAnsi="Arial" w:cs="Arial"/>
          <w:color w:val="auto"/>
          <w:szCs w:val="22"/>
        </w:rPr>
        <w:t>Il fondo iniziale di cassa al 01</w:t>
      </w:r>
      <w:r w:rsidR="009C38AA">
        <w:rPr>
          <w:rFonts w:ascii="Arial" w:eastAsia="Arial" w:hAnsi="Arial" w:cs="Arial"/>
          <w:color w:val="auto"/>
          <w:szCs w:val="22"/>
        </w:rPr>
        <w:t>/</w:t>
      </w:r>
      <w:r w:rsidRPr="00E82796">
        <w:rPr>
          <w:rFonts w:ascii="Arial" w:eastAsia="Arial" w:hAnsi="Arial" w:cs="Arial"/>
          <w:color w:val="auto"/>
          <w:szCs w:val="22"/>
        </w:rPr>
        <w:t>01</w:t>
      </w:r>
      <w:r w:rsidR="009C38AA">
        <w:rPr>
          <w:rFonts w:ascii="Arial" w:eastAsia="Arial" w:hAnsi="Arial" w:cs="Arial"/>
          <w:color w:val="auto"/>
          <w:szCs w:val="22"/>
        </w:rPr>
        <w:t>/</w:t>
      </w:r>
      <w:r w:rsidRPr="00E82796">
        <w:rPr>
          <w:rFonts w:ascii="Arial" w:eastAsia="Arial" w:hAnsi="Arial" w:cs="Arial"/>
          <w:color w:val="auto"/>
          <w:szCs w:val="22"/>
        </w:rPr>
        <w:t>202</w:t>
      </w:r>
      <w:r w:rsidR="009C38AA">
        <w:rPr>
          <w:rFonts w:ascii="Arial" w:eastAsia="Arial" w:hAnsi="Arial" w:cs="Arial"/>
          <w:color w:val="auto"/>
          <w:szCs w:val="22"/>
        </w:rPr>
        <w:t>6</w:t>
      </w:r>
      <w:r w:rsidRPr="00E82796">
        <w:rPr>
          <w:rFonts w:ascii="Arial" w:eastAsia="Arial" w:hAnsi="Arial" w:cs="Arial"/>
          <w:color w:val="auto"/>
          <w:szCs w:val="22"/>
        </w:rPr>
        <w:t xml:space="preserve"> comprende la cassa vincolata per euro……….. (</w:t>
      </w:r>
      <w:r w:rsidRPr="00E82796">
        <w:rPr>
          <w:rFonts w:ascii="Arial" w:eastAsia="Arial" w:hAnsi="Arial" w:cs="Arial"/>
          <w:i/>
          <w:iCs/>
          <w:color w:val="auto"/>
          <w:szCs w:val="22"/>
        </w:rPr>
        <w:t>nel caso di bilancio di previsione approvato entro il 31.12.202</w:t>
      </w:r>
      <w:r w:rsidR="009C38AA">
        <w:rPr>
          <w:rFonts w:ascii="Arial" w:eastAsia="Arial" w:hAnsi="Arial" w:cs="Arial"/>
          <w:i/>
          <w:iCs/>
          <w:color w:val="auto"/>
          <w:szCs w:val="22"/>
        </w:rPr>
        <w:t>5</w:t>
      </w:r>
      <w:r w:rsidRPr="00E82796">
        <w:rPr>
          <w:rFonts w:ascii="Arial" w:eastAsia="Arial" w:hAnsi="Arial" w:cs="Arial"/>
          <w:i/>
          <w:iCs/>
          <w:color w:val="auto"/>
          <w:szCs w:val="22"/>
        </w:rPr>
        <w:t xml:space="preserve"> inserire il dato stimato</w:t>
      </w:r>
      <w:r w:rsidRPr="00E82796">
        <w:rPr>
          <w:rFonts w:ascii="Arial" w:eastAsia="Arial" w:hAnsi="Arial" w:cs="Arial"/>
          <w:color w:val="auto"/>
          <w:szCs w:val="22"/>
        </w:rPr>
        <w:t>)</w:t>
      </w:r>
      <w:r w:rsidR="00DF205A" w:rsidRPr="00E82796">
        <w:rPr>
          <w:rFonts w:ascii="Arial" w:eastAsia="Arial" w:hAnsi="Arial" w:cs="Arial"/>
          <w:color w:val="auto"/>
          <w:szCs w:val="22"/>
        </w:rPr>
        <w:t xml:space="preserve"> e l’Organo di revisione ritiene che l’Ente </w:t>
      </w:r>
      <w:r w:rsidR="00160626" w:rsidRPr="00E82796">
        <w:rPr>
          <w:rFonts w:ascii="Arial" w:eastAsia="Arial" w:hAnsi="Arial" w:cs="Arial"/>
          <w:b/>
          <w:bCs/>
          <w:color w:val="auto"/>
          <w:szCs w:val="22"/>
        </w:rPr>
        <w:t>si sia</w:t>
      </w:r>
      <w:r w:rsidR="00D12016" w:rsidRPr="00E82796">
        <w:rPr>
          <w:rFonts w:ascii="Arial" w:eastAsia="Arial" w:hAnsi="Arial" w:cs="Arial"/>
          <w:b/>
          <w:bCs/>
          <w:color w:val="auto"/>
          <w:szCs w:val="22"/>
        </w:rPr>
        <w:t xml:space="preserve"> </w:t>
      </w:r>
      <w:r w:rsidR="00DF205A" w:rsidRPr="00E82796">
        <w:rPr>
          <w:rFonts w:ascii="Arial" w:eastAsia="Arial" w:hAnsi="Arial" w:cs="Arial"/>
          <w:b/>
          <w:bCs/>
          <w:color w:val="auto"/>
          <w:szCs w:val="22"/>
        </w:rPr>
        <w:t>dotato</w:t>
      </w:r>
      <w:r w:rsidR="00492E91" w:rsidRPr="00E82796">
        <w:rPr>
          <w:rFonts w:ascii="Arial" w:eastAsia="Arial" w:hAnsi="Arial" w:cs="Arial"/>
          <w:b/>
          <w:bCs/>
          <w:color w:val="auto"/>
          <w:szCs w:val="22"/>
        </w:rPr>
        <w:t xml:space="preserve">/non si </w:t>
      </w:r>
      <w:r w:rsidR="00D12016" w:rsidRPr="00E82796">
        <w:rPr>
          <w:rFonts w:ascii="Arial" w:eastAsia="Arial" w:hAnsi="Arial" w:cs="Arial"/>
          <w:b/>
          <w:bCs/>
          <w:color w:val="auto"/>
          <w:szCs w:val="22"/>
        </w:rPr>
        <w:t>sia</w:t>
      </w:r>
      <w:r w:rsidR="00492E91" w:rsidRPr="00E82796">
        <w:rPr>
          <w:rFonts w:ascii="Arial" w:eastAsia="Arial" w:hAnsi="Arial" w:cs="Arial"/>
          <w:b/>
          <w:bCs/>
          <w:color w:val="auto"/>
          <w:szCs w:val="22"/>
        </w:rPr>
        <w:t xml:space="preserve"> dotato</w:t>
      </w:r>
      <w:r w:rsidR="00DF205A" w:rsidRPr="00E82796">
        <w:rPr>
          <w:rFonts w:ascii="Arial" w:eastAsia="Arial" w:hAnsi="Arial" w:cs="Arial"/>
          <w:color w:val="auto"/>
          <w:szCs w:val="22"/>
        </w:rPr>
        <w:t xml:space="preserve"> di scritture contabili atte a determinare in ogni momento l’entità della giacenza della cassa vincolata</w:t>
      </w:r>
      <w:r w:rsidR="00D67B35" w:rsidRPr="00E82796">
        <w:rPr>
          <w:rStyle w:val="Rimandonotaapidipagina"/>
          <w:rFonts w:ascii="Arial" w:eastAsia="Arial" w:hAnsi="Arial" w:cs="Arial"/>
          <w:color w:val="auto"/>
          <w:szCs w:val="22"/>
        </w:rPr>
        <w:footnoteReference w:id="3"/>
      </w:r>
      <w:r w:rsidR="00DF205A" w:rsidRPr="00E82796">
        <w:rPr>
          <w:rFonts w:ascii="Arial" w:eastAsia="Arial" w:hAnsi="Arial" w:cs="Arial"/>
          <w:color w:val="auto"/>
          <w:szCs w:val="22"/>
        </w:rPr>
        <w:t xml:space="preserve"> per rendere </w:t>
      </w:r>
      <w:r w:rsidR="00DF205A" w:rsidRPr="00E82796">
        <w:rPr>
          <w:rFonts w:ascii="Arial" w:eastAsia="Arial" w:hAnsi="Arial" w:cs="Arial"/>
          <w:color w:val="auto"/>
          <w:szCs w:val="22"/>
        </w:rPr>
        <w:lastRenderedPageBreak/>
        <w:t>possibile la conciliazione con la cassa vincolata del tesoriere.</w:t>
      </w:r>
      <w:r w:rsidR="00DF205A">
        <w:rPr>
          <w:rFonts w:ascii="Arial" w:eastAsia="Arial" w:hAnsi="Arial" w:cs="Arial"/>
          <w:szCs w:val="22"/>
        </w:rPr>
        <w:t xml:space="preserve"> </w:t>
      </w:r>
      <w:r w:rsidR="00DF205A">
        <w:rPr>
          <w:rFonts w:ascii="Arial" w:eastAsia="Arial" w:hAnsi="Arial" w:cs="Arial"/>
          <w:i/>
          <w:color w:val="00B0F0"/>
          <w:szCs w:val="22"/>
          <w:highlight w:val="white"/>
        </w:rPr>
        <w:t>Nel caso di risposta negativa</w:t>
      </w:r>
      <w:r w:rsidR="00DF205A" w:rsidRPr="006314B9">
        <w:rPr>
          <w:rFonts w:ascii="Arial" w:eastAsia="Arial" w:hAnsi="Arial" w:cs="Arial"/>
          <w:i/>
          <w:color w:val="00B0F0"/>
          <w:szCs w:val="22"/>
          <w:highlight w:val="white"/>
        </w:rPr>
        <w:t xml:space="preserve"> fornire chiarimenti………..</w:t>
      </w:r>
    </w:p>
    <w:p w14:paraId="5D2E7F35" w14:textId="6F4AE6FA" w:rsidR="005F4156" w:rsidRDefault="005F4156" w:rsidP="00DF205A">
      <w:pPr>
        <w:pBdr>
          <w:top w:val="nil"/>
          <w:left w:val="nil"/>
          <w:bottom w:val="nil"/>
          <w:right w:val="nil"/>
          <w:between w:val="nil"/>
        </w:pBdr>
        <w:spacing w:line="240" w:lineRule="auto"/>
        <w:ind w:hanging="2"/>
        <w:rPr>
          <w:rFonts w:ascii="Arial" w:eastAsia="Arial" w:hAnsi="Arial" w:cs="Arial"/>
          <w:iCs/>
          <w:color w:val="00B0F0"/>
          <w:szCs w:val="22"/>
          <w:highlight w:val="white"/>
        </w:rPr>
      </w:pPr>
      <w:r>
        <w:rPr>
          <w:rFonts w:ascii="Arial" w:eastAsia="Arial" w:hAnsi="Arial" w:cs="Arial"/>
          <w:iCs/>
          <w:color w:val="00B0F0"/>
          <w:szCs w:val="22"/>
          <w:highlight w:val="white"/>
        </w:rPr>
        <w:t>(</w:t>
      </w:r>
      <w:r w:rsidRPr="0059751B">
        <w:rPr>
          <w:rFonts w:ascii="Arial" w:eastAsia="Arial" w:hAnsi="Arial" w:cs="Arial"/>
          <w:i/>
          <w:color w:val="00B0F0"/>
          <w:szCs w:val="22"/>
          <w:highlight w:val="white"/>
        </w:rPr>
        <w:t>se ricorre la fattispecie</w:t>
      </w:r>
      <w:r>
        <w:rPr>
          <w:rFonts w:ascii="Arial" w:eastAsia="Arial" w:hAnsi="Arial" w:cs="Arial"/>
          <w:iCs/>
          <w:color w:val="00B0F0"/>
          <w:szCs w:val="22"/>
          <w:highlight w:val="white"/>
        </w:rPr>
        <w:t>)</w:t>
      </w:r>
    </w:p>
    <w:p w14:paraId="2C1A7E34" w14:textId="66F0BFD6" w:rsidR="005F4156" w:rsidRPr="005F4156" w:rsidRDefault="005F4156" w:rsidP="00DF205A">
      <w:pPr>
        <w:pBdr>
          <w:top w:val="nil"/>
          <w:left w:val="nil"/>
          <w:bottom w:val="nil"/>
          <w:right w:val="nil"/>
          <w:between w:val="nil"/>
        </w:pBdr>
        <w:spacing w:line="240" w:lineRule="auto"/>
        <w:ind w:hanging="2"/>
        <w:rPr>
          <w:rFonts w:ascii="Arial" w:eastAsia="Arial" w:hAnsi="Arial" w:cs="Arial"/>
          <w:iCs/>
          <w:color w:val="00B0F0"/>
          <w:szCs w:val="22"/>
          <w:highlight w:val="white"/>
        </w:rPr>
      </w:pPr>
      <w:r w:rsidRPr="0059751B">
        <w:rPr>
          <w:rFonts w:ascii="Arial" w:eastAsia="Arial" w:hAnsi="Arial" w:cs="Arial"/>
          <w:iCs/>
          <w:color w:val="auto"/>
          <w:szCs w:val="22"/>
          <w:highlight w:val="white"/>
        </w:rPr>
        <w:t>L’Ente prevede di utilizzare, per cassa, entrate a destinazione vincolata (art.195 Tuel).</w:t>
      </w:r>
      <w:r>
        <w:rPr>
          <w:rFonts w:ascii="Arial" w:eastAsia="Arial" w:hAnsi="Arial" w:cs="Arial"/>
          <w:iCs/>
          <w:color w:val="00B0F0"/>
          <w:szCs w:val="22"/>
          <w:highlight w:val="white"/>
        </w:rPr>
        <w:t xml:space="preserve"> (</w:t>
      </w:r>
      <w:r w:rsidRPr="0059751B">
        <w:rPr>
          <w:rFonts w:ascii="Arial" w:eastAsia="Arial" w:hAnsi="Arial" w:cs="Arial"/>
          <w:i/>
          <w:color w:val="00B0F0"/>
          <w:szCs w:val="22"/>
          <w:highlight w:val="white"/>
        </w:rPr>
        <w:t>in caso di risposta affermativa indicare l’importo previsto e l’importo della giacenza vincolata di Tesoreria determinata al 1° gennaio 2026</w:t>
      </w:r>
      <w:r w:rsidR="00C960C2" w:rsidRPr="0059751B">
        <w:rPr>
          <w:rFonts w:ascii="Arial" w:eastAsia="Arial" w:hAnsi="Arial" w:cs="Arial"/>
          <w:i/>
          <w:color w:val="00B0F0"/>
          <w:szCs w:val="22"/>
          <w:highlight w:val="white"/>
        </w:rPr>
        <w:t xml:space="preserve">.) (rif. </w:t>
      </w:r>
      <w:r w:rsidRPr="0059751B">
        <w:rPr>
          <w:rFonts w:ascii="Arial" w:eastAsia="Arial" w:hAnsi="Arial" w:cs="Arial"/>
          <w:i/>
          <w:color w:val="00B0F0"/>
          <w:szCs w:val="22"/>
          <w:highlight w:val="white"/>
        </w:rPr>
        <w:t>punto 10, Principio All. 4/2</w:t>
      </w:r>
      <w:r>
        <w:rPr>
          <w:rFonts w:ascii="Arial" w:eastAsia="Arial" w:hAnsi="Arial" w:cs="Arial"/>
          <w:iCs/>
          <w:color w:val="00B0F0"/>
          <w:szCs w:val="22"/>
          <w:highlight w:val="white"/>
        </w:rPr>
        <w:t>)</w:t>
      </w:r>
    </w:p>
    <w:p w14:paraId="0D93A854" w14:textId="77777777" w:rsidR="00813765" w:rsidRPr="004B4CFE" w:rsidRDefault="00813765" w:rsidP="00B20671">
      <w:pPr>
        <w:spacing w:line="240" w:lineRule="auto"/>
        <w:ind w:hanging="2"/>
        <w:rPr>
          <w:rFonts w:ascii="Arial" w:eastAsia="Arial" w:hAnsi="Arial" w:cs="Arial"/>
          <w:color w:val="auto"/>
          <w:szCs w:val="22"/>
        </w:rPr>
      </w:pPr>
    </w:p>
    <w:p w14:paraId="3FDD8B90" w14:textId="1B9DF1B2" w:rsidR="00CE0CF7" w:rsidRPr="00123ADD" w:rsidRDefault="00626F3F" w:rsidP="00123ADD">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Pr>
          <w:rFonts w:ascii="Arial" w:eastAsia="Arial" w:hAnsi="Arial" w:cs="Arial"/>
          <w:i/>
          <w:iCs/>
          <w:color w:val="auto"/>
          <w:szCs w:val="22"/>
        </w:rPr>
        <w:t>L</w:t>
      </w:r>
      <w:r w:rsidR="00813765" w:rsidRPr="00C667C0">
        <w:rPr>
          <w:rFonts w:ascii="Arial" w:eastAsia="Arial" w:hAnsi="Arial" w:cs="Arial"/>
          <w:i/>
          <w:iCs/>
          <w:color w:val="auto"/>
          <w:szCs w:val="22"/>
        </w:rPr>
        <w:t xml:space="preserve">’art.1 comma </w:t>
      </w:r>
      <w:r>
        <w:rPr>
          <w:rFonts w:ascii="Arial" w:eastAsia="Arial" w:hAnsi="Arial" w:cs="Arial"/>
          <w:i/>
          <w:iCs/>
          <w:color w:val="auto"/>
          <w:szCs w:val="22"/>
        </w:rPr>
        <w:t>67</w:t>
      </w:r>
      <w:r w:rsidR="00813765" w:rsidRPr="00C667C0">
        <w:rPr>
          <w:rFonts w:ascii="Arial" w:eastAsia="Arial" w:hAnsi="Arial" w:cs="Arial"/>
          <w:i/>
          <w:iCs/>
          <w:color w:val="auto"/>
          <w:szCs w:val="22"/>
        </w:rPr>
        <w:t xml:space="preserve">2 </w:t>
      </w:r>
      <w:r>
        <w:rPr>
          <w:rFonts w:ascii="Arial" w:eastAsia="Arial" w:hAnsi="Arial" w:cs="Arial"/>
          <w:i/>
          <w:iCs/>
          <w:color w:val="auto"/>
          <w:szCs w:val="22"/>
        </w:rPr>
        <w:t xml:space="preserve">della Legge di bilancio 2026 </w:t>
      </w:r>
      <w:r w:rsidR="00813765" w:rsidRPr="00C667C0">
        <w:rPr>
          <w:rFonts w:ascii="Arial" w:eastAsia="Arial" w:hAnsi="Arial" w:cs="Arial"/>
          <w:i/>
          <w:iCs/>
          <w:color w:val="auto"/>
          <w:szCs w:val="22"/>
        </w:rPr>
        <w:t>dispone che all'articolo 1, comma 555, della legge 27 dicembre 2019, n. 160, le parole «dal 2020 al 2025» sono sostituite dalle seguenti: «dal 2020 al 2028».</w:t>
      </w:r>
      <w:r w:rsidR="00996A88" w:rsidRPr="00C667C0">
        <w:rPr>
          <w:rFonts w:ascii="Arial" w:eastAsia="Arial" w:hAnsi="Arial" w:cs="Arial"/>
          <w:i/>
          <w:iCs/>
          <w:color w:val="auto"/>
          <w:szCs w:val="22"/>
        </w:rPr>
        <w:t xml:space="preserve"> Pertanto</w:t>
      </w:r>
      <w:r w:rsidR="00B20671">
        <w:rPr>
          <w:rFonts w:ascii="Arial" w:eastAsia="Arial" w:hAnsi="Arial" w:cs="Arial"/>
          <w:i/>
          <w:iCs/>
          <w:color w:val="auto"/>
          <w:szCs w:val="22"/>
        </w:rPr>
        <w:t>,</w:t>
      </w:r>
      <w:r w:rsidR="00996A88" w:rsidRPr="00C667C0">
        <w:rPr>
          <w:rFonts w:ascii="Arial" w:eastAsia="Arial" w:hAnsi="Arial" w:cs="Arial"/>
          <w:i/>
          <w:iCs/>
          <w:color w:val="auto"/>
          <w:szCs w:val="22"/>
        </w:rPr>
        <w:t xml:space="preserve"> il limite massimo di ricorso da parte degli enti locali ad anticipazioni di tesoreria, di cui al comma 1 dell'articolo 222 del testo unico di cui al </w:t>
      </w:r>
      <w:hyperlink r:id="rId27" w:tgtFrame="_blank" w:history="1">
        <w:r w:rsidR="00996A88" w:rsidRPr="00123ADD">
          <w:rPr>
            <w:rFonts w:ascii="Arial" w:eastAsia="Arial" w:hAnsi="Arial" w:cs="Arial"/>
            <w:i/>
            <w:iCs/>
            <w:color w:val="auto"/>
            <w:szCs w:val="22"/>
          </w:rPr>
          <w:t>decreto legislativo 18 agosto 2000, n. 267</w:t>
        </w:r>
      </w:hyperlink>
      <w:r w:rsidR="00996A88" w:rsidRPr="00C667C0">
        <w:rPr>
          <w:rFonts w:ascii="Arial" w:eastAsia="Arial" w:hAnsi="Arial" w:cs="Arial"/>
          <w:i/>
          <w:iCs/>
          <w:color w:val="auto"/>
          <w:szCs w:val="22"/>
        </w:rPr>
        <w:t xml:space="preserve">, è </w:t>
      </w:r>
      <w:r w:rsidR="000D267B">
        <w:rPr>
          <w:rFonts w:ascii="Arial" w:eastAsia="Arial" w:hAnsi="Arial" w:cs="Arial"/>
          <w:i/>
          <w:iCs/>
          <w:color w:val="auto"/>
          <w:szCs w:val="22"/>
        </w:rPr>
        <w:t>mantenuto</w:t>
      </w:r>
      <w:r w:rsidR="000D267B" w:rsidRPr="00C667C0">
        <w:rPr>
          <w:rFonts w:ascii="Arial" w:eastAsia="Arial" w:hAnsi="Arial" w:cs="Arial"/>
          <w:i/>
          <w:iCs/>
          <w:color w:val="auto"/>
          <w:szCs w:val="22"/>
        </w:rPr>
        <w:t xml:space="preserve"> </w:t>
      </w:r>
      <w:r w:rsidR="00996A88" w:rsidRPr="00C667C0">
        <w:rPr>
          <w:rFonts w:ascii="Arial" w:eastAsia="Arial" w:hAnsi="Arial" w:cs="Arial"/>
          <w:i/>
          <w:iCs/>
          <w:color w:val="auto"/>
          <w:szCs w:val="22"/>
        </w:rPr>
        <w:t xml:space="preserve">a cinque dodicesimi </w:t>
      </w:r>
      <w:r w:rsidR="000D267B">
        <w:rPr>
          <w:rFonts w:ascii="Arial" w:eastAsia="Arial" w:hAnsi="Arial" w:cs="Arial"/>
          <w:i/>
          <w:iCs/>
          <w:color w:val="auto"/>
          <w:szCs w:val="22"/>
        </w:rPr>
        <w:t xml:space="preserve">delle entrate correnti (rispetto alla regola ordinaria dei tre dodicesimi) </w:t>
      </w:r>
      <w:r w:rsidR="00996A88" w:rsidRPr="00C667C0">
        <w:rPr>
          <w:rFonts w:ascii="Arial" w:eastAsia="Arial" w:hAnsi="Arial" w:cs="Arial"/>
          <w:i/>
          <w:iCs/>
          <w:color w:val="auto"/>
          <w:szCs w:val="22"/>
        </w:rPr>
        <w:t xml:space="preserve">per ciascuno degli anni </w:t>
      </w:r>
      <w:r w:rsidR="000D267B">
        <w:rPr>
          <w:rFonts w:ascii="Arial" w:eastAsia="Arial" w:hAnsi="Arial" w:cs="Arial"/>
          <w:i/>
          <w:iCs/>
          <w:color w:val="auto"/>
          <w:szCs w:val="22"/>
        </w:rPr>
        <w:t>2026-2027 e</w:t>
      </w:r>
      <w:r w:rsidR="00996A88" w:rsidRPr="00C667C0">
        <w:rPr>
          <w:rFonts w:ascii="Arial" w:eastAsia="Arial" w:hAnsi="Arial" w:cs="Arial"/>
          <w:i/>
          <w:iCs/>
          <w:color w:val="auto"/>
          <w:szCs w:val="22"/>
        </w:rPr>
        <w:t xml:space="preserve"> 2028.</w:t>
      </w:r>
    </w:p>
    <w:p w14:paraId="378EA7C7" w14:textId="77777777" w:rsidR="00826CB4" w:rsidRDefault="00826CB4" w:rsidP="00F83869">
      <w:pPr>
        <w:pBdr>
          <w:top w:val="nil"/>
          <w:left w:val="nil"/>
          <w:bottom w:val="nil"/>
          <w:right w:val="nil"/>
          <w:between w:val="nil"/>
        </w:pBdr>
        <w:spacing w:line="240" w:lineRule="auto"/>
        <w:ind w:hanging="2"/>
        <w:rPr>
          <w:rFonts w:ascii="Arial" w:eastAsia="Arial" w:hAnsi="Arial" w:cs="Arial"/>
          <w:color w:val="auto"/>
          <w:szCs w:val="22"/>
        </w:rPr>
      </w:pPr>
    </w:p>
    <w:p w14:paraId="02408228" w14:textId="3DA329FD" w:rsidR="00F83869" w:rsidRPr="004B4CFE" w:rsidRDefault="00F83869" w:rsidP="00F83869">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programmazione dell'Ente </w:t>
      </w:r>
      <w:r w:rsidRPr="004B4CFE">
        <w:rPr>
          <w:rFonts w:ascii="Arial" w:eastAsia="Arial" w:hAnsi="Arial" w:cs="Arial"/>
          <w:b/>
          <w:bCs/>
          <w:color w:val="auto"/>
          <w:szCs w:val="22"/>
        </w:rPr>
        <w:t>tiene conto/non tiene conto</w:t>
      </w:r>
      <w:r w:rsidRPr="004B4CFE">
        <w:rPr>
          <w:rFonts w:ascii="Arial" w:eastAsia="Arial" w:hAnsi="Arial" w:cs="Arial"/>
          <w:b/>
          <w:bCs/>
          <w:i/>
          <w:iCs/>
          <w:color w:val="auto"/>
          <w:szCs w:val="22"/>
        </w:rPr>
        <w:t xml:space="preserve"> </w:t>
      </w:r>
      <w:r w:rsidRPr="004B4CFE">
        <w:rPr>
          <w:rFonts w:ascii="Arial" w:eastAsia="Arial" w:hAnsi="Arial" w:cs="Arial"/>
          <w:color w:val="auto"/>
          <w:szCs w:val="22"/>
        </w:rPr>
        <w:t>delle transazioni non monetarie correlate alla gestione patrimoniale (esempio: opere a scomputo, conferimenti, etc..).</w:t>
      </w:r>
    </w:p>
    <w:p w14:paraId="7FCDF020" w14:textId="77777777" w:rsidR="00F83869" w:rsidRDefault="00F83869" w:rsidP="00F83869">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 xml:space="preserve">In caso di </w:t>
      </w:r>
      <w:r>
        <w:rPr>
          <w:rFonts w:ascii="Arial" w:eastAsia="Arial" w:hAnsi="Arial" w:cs="Arial"/>
          <w:i/>
          <w:color w:val="00B0F0"/>
          <w:szCs w:val="22"/>
          <w:highlight w:val="white"/>
        </w:rPr>
        <w:t>risposta negativa</w:t>
      </w:r>
      <w:r w:rsidRPr="006314B9">
        <w:rPr>
          <w:rFonts w:ascii="Arial" w:eastAsia="Arial" w:hAnsi="Arial" w:cs="Arial"/>
          <w:i/>
          <w:color w:val="00B0F0"/>
          <w:szCs w:val="22"/>
          <w:highlight w:val="white"/>
        </w:rPr>
        <w:t xml:space="preserve"> fornire chiarimenti………..</w:t>
      </w:r>
    </w:p>
    <w:p w14:paraId="190E054F" w14:textId="6C84C86B" w:rsidR="00DE45D7" w:rsidRDefault="00DE45D7" w:rsidP="00F83869">
      <w:pPr>
        <w:pBdr>
          <w:top w:val="nil"/>
          <w:left w:val="nil"/>
          <w:bottom w:val="nil"/>
          <w:right w:val="nil"/>
          <w:between w:val="nil"/>
        </w:pBdr>
        <w:spacing w:line="240" w:lineRule="auto"/>
        <w:ind w:hanging="2"/>
        <w:rPr>
          <w:rFonts w:ascii="Arial" w:eastAsia="Arial" w:hAnsi="Arial" w:cs="Arial"/>
          <w:b/>
          <w:bCs/>
          <w:i/>
          <w:color w:val="00B0F0"/>
          <w:szCs w:val="22"/>
          <w:highlight w:val="white"/>
        </w:rPr>
      </w:pPr>
      <w:r w:rsidRPr="00145E1F">
        <w:rPr>
          <w:rFonts w:ascii="Arial" w:eastAsia="Arial" w:hAnsi="Arial" w:cs="Arial"/>
          <w:b/>
          <w:bCs/>
          <w:i/>
          <w:color w:val="00B0F0"/>
          <w:szCs w:val="22"/>
          <w:highlight w:val="white"/>
        </w:rPr>
        <w:t xml:space="preserve">N.B. Il DM 10.10.2024 ha precisato che, ai sensi del D.lgs. </w:t>
      </w:r>
      <w:r w:rsidR="008102EA">
        <w:rPr>
          <w:rFonts w:ascii="Arial" w:eastAsia="Arial" w:hAnsi="Arial" w:cs="Arial"/>
          <w:b/>
          <w:bCs/>
          <w:i/>
          <w:color w:val="00B0F0"/>
          <w:szCs w:val="22"/>
          <w:highlight w:val="white"/>
        </w:rPr>
        <w:t>n.</w:t>
      </w:r>
      <w:r w:rsidRPr="00145E1F">
        <w:rPr>
          <w:rFonts w:ascii="Arial" w:eastAsia="Arial" w:hAnsi="Arial" w:cs="Arial"/>
          <w:b/>
          <w:bCs/>
          <w:i/>
          <w:color w:val="00B0F0"/>
          <w:szCs w:val="22"/>
          <w:highlight w:val="white"/>
        </w:rPr>
        <w:t>36/2023, le opere a scomputo non devono più essere inserite nel piano delle opere pubbliche ma solo nel DUP.</w:t>
      </w:r>
    </w:p>
    <w:p w14:paraId="4C8A1571" w14:textId="77777777" w:rsidR="00741BD7" w:rsidRDefault="00741BD7"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p>
    <w:p w14:paraId="32647E5C" w14:textId="1C8C46F0" w:rsidR="00135AF1"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3" w:name="_Toc219808167"/>
      <w:r>
        <w:rPr>
          <w:rFonts w:ascii="Calibri" w:eastAsiaTheme="majorEastAsia" w:hAnsi="Calibri" w:cs="Times New Roman (Titoli CS)"/>
          <w:b/>
          <w:i/>
          <w:iCs/>
          <w:color w:val="C00000"/>
          <w:sz w:val="28"/>
          <w:szCs w:val="40"/>
        </w:rPr>
        <w:t>6</w:t>
      </w:r>
      <w:r w:rsidR="00135AF1" w:rsidRPr="00AD7B50">
        <w:rPr>
          <w:rFonts w:ascii="Calibri" w:eastAsiaTheme="majorEastAsia" w:hAnsi="Calibri" w:cs="Times New Roman (Titoli CS)"/>
          <w:b/>
          <w:i/>
          <w:iCs/>
          <w:color w:val="C00000"/>
          <w:sz w:val="28"/>
          <w:szCs w:val="40"/>
        </w:rPr>
        <w:t>.</w:t>
      </w:r>
      <w:r w:rsidR="0028327B">
        <w:rPr>
          <w:rFonts w:ascii="Calibri" w:eastAsiaTheme="majorEastAsia" w:hAnsi="Calibri" w:cs="Times New Roman (Titoli CS)"/>
          <w:b/>
          <w:i/>
          <w:iCs/>
          <w:color w:val="C00000"/>
          <w:sz w:val="28"/>
          <w:szCs w:val="40"/>
        </w:rPr>
        <w:t>5</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Utilizzo proventi alienazioni</w:t>
      </w:r>
      <w:bookmarkEnd w:id="33"/>
    </w:p>
    <w:p w14:paraId="20D25BC2" w14:textId="47E9DB29" w:rsidR="000E679E" w:rsidRDefault="000E679E"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cui al co. 866, art. 1, </w:t>
      </w:r>
      <w:r w:rsidR="00E82796">
        <w:rPr>
          <w:rFonts w:ascii="Arial" w:eastAsia="Arial" w:hAnsi="Arial" w:cs="Arial"/>
          <w:color w:val="000000"/>
          <w:szCs w:val="22"/>
        </w:rPr>
        <w:t>L.</w:t>
      </w:r>
      <w:r>
        <w:rPr>
          <w:rFonts w:ascii="Arial" w:eastAsia="Arial" w:hAnsi="Arial" w:cs="Arial"/>
          <w:color w:val="000000"/>
          <w:szCs w:val="22"/>
        </w:rPr>
        <w:t xml:space="preserve"> n. 205/2017, così come modificato dall’art. 11</w:t>
      </w:r>
      <w:r>
        <w:rPr>
          <w:rFonts w:ascii="Arial" w:eastAsia="Arial" w:hAnsi="Arial" w:cs="Arial"/>
          <w:i/>
          <w:color w:val="000000"/>
          <w:szCs w:val="22"/>
        </w:rPr>
        <w:t>-</w:t>
      </w:r>
      <w:r w:rsidR="00160626">
        <w:rPr>
          <w:rFonts w:ascii="Arial" w:eastAsia="Arial" w:hAnsi="Arial" w:cs="Arial"/>
          <w:i/>
          <w:color w:val="000000"/>
          <w:szCs w:val="22"/>
        </w:rPr>
        <w:t>bis,</w:t>
      </w:r>
      <w:r>
        <w:rPr>
          <w:rFonts w:ascii="Arial" w:eastAsia="Arial" w:hAnsi="Arial" w:cs="Arial"/>
          <w:color w:val="000000"/>
          <w:szCs w:val="22"/>
        </w:rPr>
        <w:t xml:space="preserve"> comma 4, </w:t>
      </w:r>
      <w:r w:rsidR="00E82796">
        <w:rPr>
          <w:rFonts w:ascii="Arial" w:eastAsia="Arial" w:hAnsi="Arial" w:cs="Arial"/>
          <w:color w:val="000000"/>
          <w:szCs w:val="22"/>
        </w:rPr>
        <w:t>D</w:t>
      </w:r>
      <w:r>
        <w:rPr>
          <w:rFonts w:ascii="Arial" w:eastAsia="Arial" w:hAnsi="Arial" w:cs="Arial"/>
          <w:color w:val="000000"/>
          <w:szCs w:val="22"/>
        </w:rPr>
        <w:t>.l. 14 dicembre 2018, n. 135.</w:t>
      </w:r>
    </w:p>
    <w:p w14:paraId="0C9DFD5A" w14:textId="52910750" w:rsidR="00DD4643"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r w:rsidR="00D8330C">
        <w:rPr>
          <w:rFonts w:ascii="Arial" w:eastAsia="Arial" w:hAnsi="Arial" w:cs="Arial"/>
          <w:color w:val="000000"/>
          <w:szCs w:val="22"/>
        </w:rPr>
        <w:t xml:space="preserve"> l’Ente avendo soddisfatto</w:t>
      </w:r>
      <w:r w:rsidR="00DD4643">
        <w:rPr>
          <w:rFonts w:ascii="Arial" w:eastAsia="Arial" w:hAnsi="Arial" w:cs="Arial"/>
          <w:color w:val="000000"/>
          <w:szCs w:val="22"/>
        </w:rPr>
        <w:t xml:space="preserve"> le seguenti condizioni di legge:</w:t>
      </w:r>
    </w:p>
    <w:p w14:paraId="6F06C130" w14:textId="0D1A9D6F"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registrato/non ha registrato</w:t>
      </w:r>
      <w:r w:rsidRPr="00B62E12">
        <w:rPr>
          <w:rFonts w:ascii="Arial" w:eastAsia="Arial" w:hAnsi="Arial" w:cs="Arial"/>
          <w:iCs/>
          <w:color w:val="auto"/>
          <w:szCs w:val="22"/>
        </w:rPr>
        <w:t>, con riferimento al bilancio consolidato dell’esercizio precedente, un rapporto tra totale delle immobilizzazioni e debiti da finanziamento superiore a</w:t>
      </w:r>
      <w:r w:rsidR="001313E1">
        <w:rPr>
          <w:rFonts w:ascii="Arial" w:eastAsia="Arial" w:hAnsi="Arial" w:cs="Arial"/>
          <w:iCs/>
          <w:color w:val="auto"/>
          <w:szCs w:val="22"/>
        </w:rPr>
        <w:t xml:space="preserve"> 2;</w:t>
      </w:r>
    </w:p>
    <w:p w14:paraId="712E45F2" w14:textId="25B974C2"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rilevato/non ha rilevato incrementi</w:t>
      </w:r>
      <w:r w:rsidRPr="00B62E12">
        <w:rPr>
          <w:rFonts w:ascii="Arial" w:eastAsia="Arial" w:hAnsi="Arial" w:cs="Arial"/>
          <w:iCs/>
          <w:color w:val="auto"/>
          <w:szCs w:val="22"/>
        </w:rPr>
        <w:t xml:space="preserve"> di spesa corrente ricorrente (cfr.: </w:t>
      </w:r>
      <w:r w:rsidR="00D12016">
        <w:rPr>
          <w:rFonts w:ascii="Arial" w:eastAsia="Arial" w:hAnsi="Arial" w:cs="Arial"/>
          <w:iCs/>
          <w:color w:val="auto"/>
          <w:szCs w:val="22"/>
        </w:rPr>
        <w:t>A</w:t>
      </w:r>
      <w:r w:rsidRPr="00B62E12">
        <w:rPr>
          <w:rFonts w:ascii="Arial" w:eastAsia="Arial" w:hAnsi="Arial" w:cs="Arial"/>
          <w:iCs/>
          <w:color w:val="auto"/>
          <w:szCs w:val="22"/>
        </w:rPr>
        <w:t xml:space="preserve">ll. 7 al </w:t>
      </w:r>
      <w:r w:rsidR="00580948">
        <w:rPr>
          <w:rFonts w:ascii="Arial" w:eastAsia="Arial" w:hAnsi="Arial" w:cs="Arial"/>
          <w:iCs/>
          <w:color w:val="auto"/>
          <w:szCs w:val="22"/>
        </w:rPr>
        <w:t>D</w:t>
      </w:r>
      <w:r w:rsidRPr="00B62E12">
        <w:rPr>
          <w:rFonts w:ascii="Arial" w:eastAsia="Arial" w:hAnsi="Arial" w:cs="Arial"/>
          <w:iCs/>
          <w:color w:val="auto"/>
          <w:szCs w:val="22"/>
        </w:rPr>
        <w:t>.lgs. n.118/2011)</w:t>
      </w:r>
      <w:r w:rsidR="001313E1">
        <w:rPr>
          <w:rFonts w:ascii="Arial" w:eastAsia="Arial" w:hAnsi="Arial" w:cs="Arial"/>
          <w:iCs/>
          <w:color w:val="auto"/>
          <w:szCs w:val="22"/>
        </w:rPr>
        <w:t>;</w:t>
      </w:r>
    </w:p>
    <w:p w14:paraId="173E4A54" w14:textId="6B501310"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è in regola/non è in regola</w:t>
      </w:r>
      <w:r w:rsidRPr="00B62E12">
        <w:rPr>
          <w:rFonts w:ascii="Arial" w:eastAsia="Arial" w:hAnsi="Arial" w:cs="Arial"/>
          <w:iCs/>
          <w:color w:val="auto"/>
          <w:szCs w:val="22"/>
        </w:rPr>
        <w:t xml:space="preserve"> con gli accantonamenti al FCDE</w:t>
      </w:r>
      <w:r w:rsidR="00E82796">
        <w:rPr>
          <w:rFonts w:ascii="Arial" w:eastAsia="Arial" w:hAnsi="Arial" w:cs="Arial"/>
          <w:iCs/>
          <w:color w:val="auto"/>
          <w:szCs w:val="22"/>
        </w:rPr>
        <w:t>.</w:t>
      </w:r>
    </w:p>
    <w:p w14:paraId="0B1E5D87" w14:textId="77777777" w:rsidR="00DD4643" w:rsidRDefault="00DD4643"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209A1AAB" w14:textId="0E3CB292" w:rsidR="000F434D" w:rsidRDefault="000F434D" w:rsidP="000F434D">
      <w:pPr>
        <w:pBdr>
          <w:top w:val="nil"/>
          <w:left w:val="nil"/>
          <w:bottom w:val="nil"/>
          <w:right w:val="nil"/>
          <w:between w:val="nil"/>
        </w:pBdr>
        <w:spacing w:line="240" w:lineRule="auto"/>
        <w:ind w:hanging="2"/>
        <w:rPr>
          <w:rFonts w:ascii="Arial" w:eastAsia="Arial" w:hAnsi="Arial" w:cs="Arial"/>
          <w:i/>
          <w:color w:val="00B0F0"/>
          <w:szCs w:val="22"/>
        </w:rPr>
      </w:pPr>
      <w:r w:rsidRPr="003F265B">
        <w:rPr>
          <w:rFonts w:ascii="Arial" w:eastAsia="Arial" w:hAnsi="Arial" w:cs="Arial"/>
          <w:b/>
          <w:bCs/>
          <w:i/>
          <w:color w:val="00B0F0"/>
          <w:szCs w:val="22"/>
        </w:rPr>
        <w:t>N.B.</w:t>
      </w:r>
      <w:r>
        <w:rPr>
          <w:rFonts w:ascii="Arial" w:eastAsia="Arial" w:hAnsi="Arial" w:cs="Arial"/>
          <w:b/>
          <w:bCs/>
          <w:i/>
          <w:color w:val="00B0F0"/>
          <w:szCs w:val="22"/>
        </w:rPr>
        <w:t xml:space="preserve"> </w:t>
      </w:r>
      <w:r w:rsidRPr="00311AC4">
        <w:rPr>
          <w:rFonts w:ascii="Arial" w:eastAsia="Arial" w:hAnsi="Arial" w:cs="Arial"/>
          <w:i/>
          <w:color w:val="00B0F0"/>
          <w:szCs w:val="22"/>
        </w:rPr>
        <w:t xml:space="preserve">Si ricorda </w:t>
      </w:r>
      <w:r w:rsidR="00160626" w:rsidRPr="00311AC4">
        <w:rPr>
          <w:rFonts w:ascii="Arial" w:eastAsia="Arial" w:hAnsi="Arial" w:cs="Arial"/>
          <w:i/>
          <w:color w:val="00B0F0"/>
          <w:szCs w:val="22"/>
        </w:rPr>
        <w:t>che</w:t>
      </w:r>
      <w:r w:rsidR="00160626">
        <w:rPr>
          <w:rFonts w:ascii="Arial" w:eastAsia="Arial" w:hAnsi="Arial" w:cs="Arial"/>
          <w:i/>
          <w:color w:val="00B0F0"/>
          <w:szCs w:val="22"/>
        </w:rPr>
        <w:t xml:space="preserve"> i</w:t>
      </w:r>
      <w:r>
        <w:rPr>
          <w:rFonts w:ascii="Arial" w:eastAsia="Arial" w:hAnsi="Arial" w:cs="Arial"/>
          <w:i/>
          <w:color w:val="00B0F0"/>
          <w:szCs w:val="22"/>
        </w:rPr>
        <w:t xml:space="preserve"> proventi da alienazione del patrimonio disponibile (ai sensi dell’art.1 comma 443 della legge 228/2012 </w:t>
      </w:r>
      <w:r w:rsidR="00160626">
        <w:rPr>
          <w:rFonts w:ascii="Arial" w:eastAsia="Arial" w:hAnsi="Arial" w:cs="Arial"/>
          <w:i/>
          <w:color w:val="00B0F0"/>
          <w:szCs w:val="22"/>
        </w:rPr>
        <w:t>e dell’art.</w:t>
      </w:r>
      <w:r>
        <w:rPr>
          <w:rFonts w:ascii="Arial" w:eastAsia="Arial" w:hAnsi="Arial" w:cs="Arial"/>
          <w:i/>
          <w:color w:val="00B0F0"/>
          <w:szCs w:val="22"/>
        </w:rPr>
        <w:t xml:space="preserve">56 bis, comma </w:t>
      </w:r>
      <w:r w:rsidR="00160626">
        <w:rPr>
          <w:rFonts w:ascii="Arial" w:eastAsia="Arial" w:hAnsi="Arial" w:cs="Arial"/>
          <w:i/>
          <w:color w:val="00B0F0"/>
          <w:szCs w:val="22"/>
        </w:rPr>
        <w:t>11,</w:t>
      </w:r>
      <w:r>
        <w:rPr>
          <w:rFonts w:ascii="Arial" w:eastAsia="Arial" w:hAnsi="Arial" w:cs="Arial"/>
          <w:i/>
          <w:color w:val="00B0F0"/>
          <w:szCs w:val="22"/>
        </w:rPr>
        <w:t xml:space="preserve"> D.L.n.69/2013), nella misura del 10% devono finanziare obbligatoriamente e prioritariamente l’estinzione anticipata dei mutui e poi le spese di investimento.</w:t>
      </w:r>
      <w:r w:rsidR="009F0E85">
        <w:rPr>
          <w:rFonts w:ascii="Arial" w:eastAsia="Arial" w:hAnsi="Arial" w:cs="Arial"/>
          <w:i/>
          <w:color w:val="00B0F0"/>
          <w:szCs w:val="22"/>
        </w:rPr>
        <w:t xml:space="preserve"> </w:t>
      </w:r>
      <w:r>
        <w:rPr>
          <w:rFonts w:ascii="Arial" w:eastAsia="Arial" w:hAnsi="Arial" w:cs="Arial"/>
          <w:i/>
          <w:color w:val="00B0F0"/>
          <w:szCs w:val="22"/>
        </w:rPr>
        <w:t>Per i proventi derivanti dalla cessione di aree oggetto di trasferimento demaniale si applica quanto previsto dall’art. 56 bis, comma 10 D.</w:t>
      </w:r>
      <w:r w:rsidR="00E82796">
        <w:rPr>
          <w:rFonts w:ascii="Arial" w:eastAsia="Arial" w:hAnsi="Arial" w:cs="Arial"/>
          <w:i/>
          <w:color w:val="00B0F0"/>
          <w:szCs w:val="22"/>
        </w:rPr>
        <w:t>l</w:t>
      </w:r>
      <w:r>
        <w:rPr>
          <w:rFonts w:ascii="Arial" w:eastAsia="Arial" w:hAnsi="Arial" w:cs="Arial"/>
          <w:i/>
          <w:color w:val="00B0F0"/>
          <w:szCs w:val="22"/>
        </w:rPr>
        <w:t>. n.69/2013.</w:t>
      </w:r>
      <w:r w:rsidRPr="00980DF9">
        <w:rPr>
          <w:rFonts w:ascii="Arial" w:eastAsia="Arial" w:hAnsi="Arial" w:cs="Arial"/>
          <w:i/>
          <w:color w:val="00B0F0"/>
          <w:szCs w:val="22"/>
        </w:rPr>
        <w:t xml:space="preserve"> </w:t>
      </w:r>
    </w:p>
    <w:p w14:paraId="67FDDB25" w14:textId="77777777" w:rsidR="00C667C0" w:rsidRPr="004B4CFE" w:rsidRDefault="00C667C0" w:rsidP="00C667C0">
      <w:pPr>
        <w:spacing w:line="240" w:lineRule="auto"/>
        <w:ind w:hanging="2"/>
        <w:rPr>
          <w:rFonts w:ascii="Arial" w:eastAsia="Arial" w:hAnsi="Arial" w:cs="Arial"/>
          <w:color w:val="auto"/>
          <w:szCs w:val="22"/>
        </w:rPr>
      </w:pPr>
      <w:bookmarkStart w:id="34" w:name="_Hlk219283478"/>
    </w:p>
    <w:p w14:paraId="10CD1660" w14:textId="57E7CEF2" w:rsidR="00C667C0" w:rsidRPr="00B20671" w:rsidRDefault="00626F3F" w:rsidP="00B2067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Pr>
          <w:rFonts w:ascii="Arial" w:eastAsia="Arial" w:hAnsi="Arial" w:cs="Arial"/>
          <w:i/>
          <w:iCs/>
          <w:color w:val="auto"/>
          <w:szCs w:val="22"/>
        </w:rPr>
        <w:lastRenderedPageBreak/>
        <w:t>L</w:t>
      </w:r>
      <w:r w:rsidR="00C667C0" w:rsidRPr="00C667C0">
        <w:rPr>
          <w:rFonts w:ascii="Arial" w:eastAsia="Arial" w:hAnsi="Arial" w:cs="Arial"/>
          <w:i/>
          <w:iCs/>
          <w:color w:val="auto"/>
          <w:szCs w:val="22"/>
        </w:rPr>
        <w:t xml:space="preserve">’art.1 comma </w:t>
      </w:r>
      <w:r>
        <w:rPr>
          <w:rFonts w:ascii="Arial" w:eastAsia="Arial" w:hAnsi="Arial" w:cs="Arial"/>
          <w:i/>
          <w:iCs/>
          <w:color w:val="auto"/>
          <w:szCs w:val="22"/>
        </w:rPr>
        <w:t>666</w:t>
      </w:r>
      <w:r w:rsidR="00C667C0" w:rsidRPr="00C667C0">
        <w:rPr>
          <w:rFonts w:ascii="Arial" w:eastAsia="Arial" w:hAnsi="Arial" w:cs="Arial"/>
          <w:i/>
          <w:iCs/>
          <w:color w:val="auto"/>
          <w:szCs w:val="22"/>
        </w:rPr>
        <w:t xml:space="preserve"> </w:t>
      </w:r>
      <w:r>
        <w:rPr>
          <w:rFonts w:ascii="Arial" w:eastAsia="Arial" w:hAnsi="Arial" w:cs="Arial"/>
          <w:i/>
          <w:iCs/>
          <w:color w:val="auto"/>
          <w:szCs w:val="22"/>
        </w:rPr>
        <w:t xml:space="preserve">della Legge di bilancio 2026 </w:t>
      </w:r>
      <w:r w:rsidR="00C667C0" w:rsidRPr="00C667C0">
        <w:rPr>
          <w:rFonts w:ascii="Arial" w:eastAsia="Arial" w:hAnsi="Arial" w:cs="Arial"/>
          <w:i/>
          <w:iCs/>
          <w:color w:val="auto"/>
          <w:szCs w:val="22"/>
        </w:rPr>
        <w:t xml:space="preserve">dispone che </w:t>
      </w:r>
      <w:r w:rsidR="00482A33" w:rsidRPr="00C667C0">
        <w:rPr>
          <w:rFonts w:ascii="Arial" w:eastAsia="Arial" w:hAnsi="Arial" w:cs="Arial"/>
          <w:i/>
          <w:iCs/>
          <w:color w:val="auto"/>
          <w:szCs w:val="22"/>
        </w:rPr>
        <w:t>al comma 7</w:t>
      </w:r>
      <w:r w:rsidR="00482A33">
        <w:rPr>
          <w:rFonts w:ascii="Arial" w:eastAsia="Arial" w:hAnsi="Arial" w:cs="Arial"/>
          <w:i/>
          <w:iCs/>
          <w:color w:val="auto"/>
          <w:szCs w:val="22"/>
        </w:rPr>
        <w:t xml:space="preserve"> del</w:t>
      </w:r>
      <w:r w:rsidR="00C667C0" w:rsidRPr="00C667C0">
        <w:rPr>
          <w:rFonts w:ascii="Arial" w:eastAsia="Arial" w:hAnsi="Arial" w:cs="Arial"/>
          <w:i/>
          <w:iCs/>
          <w:color w:val="auto"/>
          <w:szCs w:val="22"/>
        </w:rPr>
        <w:t>l’articolo 56-bis del decreto-legge 21 giugno 2013, n. 69, convertito, con modificazioni, dalla legge 9 agosto 2013, n. 98</w:t>
      </w:r>
      <w:r w:rsidR="00C667C0">
        <w:rPr>
          <w:rFonts w:ascii="Arial" w:eastAsia="Arial" w:hAnsi="Arial" w:cs="Arial"/>
          <w:i/>
          <w:iCs/>
          <w:color w:val="auto"/>
          <w:szCs w:val="22"/>
        </w:rPr>
        <w:t xml:space="preserve"> relativo</w:t>
      </w:r>
      <w:r w:rsidR="00C667C0" w:rsidRPr="00B20671">
        <w:rPr>
          <w:rFonts w:ascii="Arial" w:eastAsia="Arial" w:hAnsi="Arial" w:cs="Arial"/>
          <w:i/>
          <w:iCs/>
          <w:color w:val="auto"/>
          <w:szCs w:val="22"/>
        </w:rPr>
        <w:t xml:space="preserve"> alla </w:t>
      </w:r>
      <w:r w:rsidR="00C667C0">
        <w:rPr>
          <w:rFonts w:ascii="Arial" w:eastAsia="Arial" w:hAnsi="Arial" w:cs="Arial"/>
          <w:i/>
          <w:iCs/>
          <w:color w:val="auto"/>
          <w:szCs w:val="22"/>
        </w:rPr>
        <w:t>s</w:t>
      </w:r>
      <w:r w:rsidR="00C667C0" w:rsidRPr="00C667C0">
        <w:rPr>
          <w:rFonts w:ascii="Arial" w:eastAsia="Arial" w:hAnsi="Arial" w:cs="Arial"/>
          <w:i/>
          <w:iCs/>
          <w:color w:val="auto"/>
          <w:szCs w:val="22"/>
        </w:rPr>
        <w:t>emplificazione delle procedure in materia di trasferimenti di immobili agli enti territoriali, sono aggiunti, in fine, i seguenti periodi: «Le disposizioni di cui al primo periodo non si applicano a decorrere dal 1° gennaio 2026. Non si dà luogo al rimborso degli importi già trattenuti o versati nelle annualità pregresse.»</w:t>
      </w:r>
    </w:p>
    <w:p w14:paraId="729CD448" w14:textId="1E5F055F" w:rsidR="000F434D" w:rsidRPr="00D465E4"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color w:val="C00000"/>
          <w:sz w:val="28"/>
          <w:szCs w:val="40"/>
        </w:rPr>
      </w:pPr>
      <w:bookmarkStart w:id="35" w:name="_Toc219808168"/>
      <w:bookmarkEnd w:id="34"/>
      <w:r>
        <w:rPr>
          <w:rFonts w:ascii="Calibri" w:eastAsiaTheme="majorEastAsia" w:hAnsi="Calibri" w:cs="Times New Roman (Titoli CS)"/>
          <w:b/>
          <w:i/>
          <w:iCs/>
          <w:color w:val="C00000"/>
          <w:sz w:val="28"/>
          <w:szCs w:val="40"/>
        </w:rPr>
        <w:t>6.6</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Risorse derivanti da rinegoziazione mutui</w:t>
      </w:r>
      <w:bookmarkEnd w:id="35"/>
    </w:p>
    <w:p w14:paraId="6AA10557" w14:textId="775D727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Pr>
          <w:rFonts w:ascii="Arial" w:eastAsia="Arial" w:hAnsi="Arial" w:cs="Arial"/>
          <w:szCs w:val="22"/>
        </w:rPr>
        <w:t>E</w:t>
      </w:r>
      <w:r>
        <w:rPr>
          <w:rFonts w:ascii="Arial" w:eastAsia="Arial" w:hAnsi="Arial" w:cs="Arial"/>
          <w:color w:val="000000"/>
          <w:szCs w:val="22"/>
        </w:rPr>
        <w:t xml:space="preserv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utilizzare le economie di risorse derivanti da operazioni di rinegoziazione mutui e prestiti per finanziare, in deroga, spese di parte corrente ai sensi dell’art. </w:t>
      </w:r>
      <w:r w:rsidR="008D05EA">
        <w:rPr>
          <w:rFonts w:ascii="Arial" w:eastAsia="Arial" w:hAnsi="Arial" w:cs="Arial"/>
          <w:color w:val="000000"/>
          <w:szCs w:val="22"/>
        </w:rPr>
        <w:t>7 comma 2 del D.</w:t>
      </w:r>
      <w:r w:rsidR="00E82796">
        <w:rPr>
          <w:rFonts w:ascii="Arial" w:eastAsia="Arial" w:hAnsi="Arial" w:cs="Arial"/>
          <w:color w:val="000000"/>
          <w:szCs w:val="22"/>
        </w:rPr>
        <w:t>l</w:t>
      </w:r>
      <w:r w:rsidR="008D05EA">
        <w:rPr>
          <w:rFonts w:ascii="Arial" w:eastAsia="Arial" w:hAnsi="Arial" w:cs="Arial"/>
          <w:color w:val="000000"/>
          <w:szCs w:val="22"/>
        </w:rPr>
        <w:t>. 78/2015</w:t>
      </w:r>
      <w:r>
        <w:rPr>
          <w:rFonts w:ascii="Arial" w:eastAsia="Arial" w:hAnsi="Arial" w:cs="Arial"/>
          <w:color w:val="000000"/>
          <w:szCs w:val="22"/>
        </w:rPr>
        <w:t>.</w:t>
      </w:r>
    </w:p>
    <w:p w14:paraId="0C3C5A57" w14:textId="77777777" w:rsidR="0031457E" w:rsidRPr="004B4CFE" w:rsidRDefault="0031457E" w:rsidP="0031457E">
      <w:pPr>
        <w:spacing w:line="240" w:lineRule="auto"/>
        <w:ind w:hanging="2"/>
        <w:rPr>
          <w:rFonts w:ascii="Arial" w:eastAsia="Arial" w:hAnsi="Arial" w:cs="Arial"/>
          <w:color w:val="auto"/>
          <w:szCs w:val="22"/>
        </w:rPr>
      </w:pPr>
    </w:p>
    <w:p w14:paraId="059F76FC" w14:textId="77777777" w:rsidR="0031457E" w:rsidRDefault="0031457E" w:rsidP="0031457E">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 xml:space="preserve">L’art.1 comma 678 della Legge di bilancio 2026 </w:t>
      </w:r>
      <w:r w:rsidRPr="0031457E">
        <w:rPr>
          <w:rFonts w:ascii="Arial" w:eastAsia="Arial" w:hAnsi="Arial" w:cs="Arial"/>
          <w:i/>
          <w:iCs/>
          <w:color w:val="auto"/>
          <w:szCs w:val="22"/>
        </w:rPr>
        <w:t>proroga al 2026 le misure volte ad alleggerire gli oneri</w:t>
      </w:r>
      <w:r>
        <w:rPr>
          <w:rFonts w:ascii="Arial" w:eastAsia="Arial" w:hAnsi="Arial" w:cs="Arial"/>
          <w:i/>
          <w:iCs/>
          <w:color w:val="auto"/>
          <w:szCs w:val="22"/>
        </w:rPr>
        <w:t xml:space="preserve"> </w:t>
      </w:r>
      <w:r w:rsidRPr="0031457E">
        <w:rPr>
          <w:rFonts w:ascii="Arial" w:eastAsia="Arial" w:hAnsi="Arial" w:cs="Arial"/>
          <w:i/>
          <w:iCs/>
          <w:color w:val="auto"/>
          <w:szCs w:val="22"/>
        </w:rPr>
        <w:t>da indebitamento degli enti locali, consentendo anzitutto la rinegoziazione in fase di esercizio provvisorio e con delibera dell’organo esecutivo (anche nei casi di accordo con le banche con riferimento ai prestiti bancari)</w:t>
      </w:r>
      <w:r>
        <w:rPr>
          <w:rFonts w:ascii="Arial" w:eastAsia="Arial" w:hAnsi="Arial" w:cs="Arial"/>
          <w:i/>
          <w:iCs/>
          <w:color w:val="auto"/>
          <w:szCs w:val="22"/>
        </w:rPr>
        <w:t>.</w:t>
      </w:r>
    </w:p>
    <w:p w14:paraId="590F3A5E" w14:textId="6D2B6BF5" w:rsidR="0031457E" w:rsidRPr="00B20671" w:rsidRDefault="0031457E" w:rsidP="0031457E">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Pr>
          <w:rFonts w:ascii="Arial" w:eastAsia="Arial" w:hAnsi="Arial" w:cs="Arial"/>
          <w:i/>
          <w:iCs/>
          <w:color w:val="auto"/>
          <w:szCs w:val="22"/>
        </w:rPr>
        <w:t>L’art.1 comma 679 della Legge di bilancio 2026 estende</w:t>
      </w:r>
      <w:r w:rsidRPr="0031457E">
        <w:rPr>
          <w:rFonts w:ascii="Arial" w:eastAsia="Arial" w:hAnsi="Arial" w:cs="Arial"/>
          <w:i/>
          <w:iCs/>
          <w:color w:val="auto"/>
          <w:szCs w:val="22"/>
        </w:rPr>
        <w:t xml:space="preserve"> al 2028 la facoltà per gli enti locali di utilizzare senza vincoli di destinazione le risorse derivanti da operazioni di rinegoziazione dei mutui e dal riacquisto di titoli obbligazionari, includendo anche le operazioni di sospensione della quota capitale di mutui e altre forme di prestito.</w:t>
      </w:r>
    </w:p>
    <w:p w14:paraId="36502100" w14:textId="77777777" w:rsidR="00A53891" w:rsidRDefault="00A53891"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2D5EDF41" w14:textId="22B7CD36" w:rsidR="000F434D" w:rsidRPr="00D465E4" w:rsidRDefault="005D67FF"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36" w:name="_Toc219808169"/>
      <w:r>
        <w:rPr>
          <w:rFonts w:ascii="Calibri" w:eastAsiaTheme="majorEastAsia" w:hAnsi="Calibri" w:cs="Times New Roman (Titoli CS)"/>
          <w:b/>
          <w:i/>
          <w:iCs/>
          <w:color w:val="C00000"/>
          <w:sz w:val="28"/>
          <w:szCs w:val="40"/>
        </w:rPr>
        <w:t>6.7</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Entrate e spese di carattere non ripetitivo</w:t>
      </w:r>
      <w:bookmarkEnd w:id="36"/>
    </w:p>
    <w:p w14:paraId="565ED703" w14:textId="17871E49" w:rsidR="000F434D" w:rsidRPr="004B4CFE" w:rsidRDefault="000F434D" w:rsidP="00D465E4">
      <w:pPr>
        <w:tabs>
          <w:tab w:val="left" w:pos="6110"/>
        </w:tabs>
        <w:ind w:hanging="2"/>
        <w:rPr>
          <w:rFonts w:ascii="Arial" w:eastAsia="Arial" w:hAnsi="Arial" w:cs="Arial"/>
          <w:color w:val="auto"/>
          <w:szCs w:val="22"/>
        </w:rPr>
      </w:pPr>
      <w:r>
        <w:rPr>
          <w:rFonts w:ascii="Arial" w:eastAsia="Arial" w:hAnsi="Arial" w:cs="Arial"/>
          <w:szCs w:val="22"/>
        </w:rPr>
        <w:tab/>
      </w: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 xml:space="preserve">che l’Ente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00E82796">
        <w:rPr>
          <w:rFonts w:ascii="Arial" w:eastAsia="Arial" w:hAnsi="Arial" w:cs="Arial"/>
          <w:b/>
          <w:bCs/>
          <w:color w:val="auto"/>
          <w:szCs w:val="22"/>
        </w:rPr>
        <w:t xml:space="preserve"> codificato</w:t>
      </w:r>
      <w:r w:rsidRPr="004B4CFE">
        <w:rPr>
          <w:rFonts w:ascii="Arial" w:eastAsia="Arial" w:hAnsi="Arial" w:cs="Arial"/>
          <w:b/>
          <w:bCs/>
          <w:color w:val="auto"/>
          <w:szCs w:val="22"/>
        </w:rPr>
        <w:t xml:space="preserve">/non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Pr="004B4CFE">
        <w:rPr>
          <w:rFonts w:ascii="Arial" w:eastAsia="Arial" w:hAnsi="Arial" w:cs="Arial"/>
          <w:color w:val="auto"/>
          <w:szCs w:val="22"/>
        </w:rPr>
        <w:t xml:space="preserve"> </w:t>
      </w:r>
      <w:r w:rsidRPr="00E82796">
        <w:rPr>
          <w:rFonts w:ascii="Arial" w:eastAsia="Arial" w:hAnsi="Arial" w:cs="Arial"/>
          <w:b/>
          <w:bCs/>
          <w:color w:val="auto"/>
          <w:szCs w:val="22"/>
        </w:rPr>
        <w:t>codificato</w:t>
      </w:r>
      <w:r w:rsidR="00E82796">
        <w:rPr>
          <w:rFonts w:ascii="Arial" w:eastAsia="Arial" w:hAnsi="Arial" w:cs="Arial"/>
          <w:color w:val="auto"/>
          <w:szCs w:val="22"/>
        </w:rPr>
        <w:t>,</w:t>
      </w:r>
      <w:r w:rsidRPr="004B4CFE">
        <w:rPr>
          <w:rFonts w:ascii="Arial" w:eastAsia="Arial" w:hAnsi="Arial" w:cs="Arial"/>
          <w:color w:val="auto"/>
          <w:szCs w:val="22"/>
        </w:rPr>
        <w:t xml:space="preserve"> ai fini della transazione elementare</w:t>
      </w:r>
      <w:r w:rsidR="00E82796">
        <w:rPr>
          <w:rFonts w:ascii="Arial" w:eastAsia="Arial" w:hAnsi="Arial" w:cs="Arial"/>
          <w:color w:val="auto"/>
          <w:szCs w:val="22"/>
        </w:rPr>
        <w:t>,</w:t>
      </w:r>
      <w:r w:rsidRPr="004B4CFE">
        <w:rPr>
          <w:rFonts w:ascii="Arial" w:eastAsia="Arial" w:hAnsi="Arial" w:cs="Arial"/>
          <w:color w:val="auto"/>
          <w:szCs w:val="22"/>
        </w:rPr>
        <w:t xml:space="preserve"> le entrate e le spese ricorrenti e non ricorrenti.</w:t>
      </w:r>
    </w:p>
    <w:p w14:paraId="281434E6" w14:textId="3DC8B41D"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9F0E85" w:rsidRPr="004B4CFE">
        <w:rPr>
          <w:rFonts w:ascii="Arial" w:eastAsia="Arial" w:hAnsi="Arial" w:cs="Arial"/>
          <w:color w:val="auto"/>
          <w:szCs w:val="22"/>
        </w:rPr>
        <w:t>,</w:t>
      </w:r>
      <w:r w:rsidRPr="004B4CFE">
        <w:rPr>
          <w:rFonts w:ascii="Arial" w:eastAsia="Arial" w:hAnsi="Arial" w:cs="Arial"/>
          <w:color w:val="auto"/>
          <w:szCs w:val="22"/>
        </w:rPr>
        <w:t xml:space="preserve"> ai fini degli equilibri di bilancio</w:t>
      </w:r>
      <w:r w:rsidR="009F0E85" w:rsidRPr="004B4CFE">
        <w:rPr>
          <w:rFonts w:ascii="Arial" w:eastAsia="Arial" w:hAnsi="Arial" w:cs="Arial"/>
          <w:color w:val="auto"/>
          <w:szCs w:val="22"/>
        </w:rPr>
        <w:t>,</w:t>
      </w:r>
      <w:r w:rsidRPr="004B4CFE">
        <w:rPr>
          <w:rFonts w:ascii="Arial" w:eastAsia="Arial" w:hAnsi="Arial" w:cs="Arial"/>
          <w:color w:val="auto"/>
          <w:szCs w:val="22"/>
        </w:rPr>
        <w:t xml:space="preserve"> vi </w:t>
      </w:r>
      <w:r w:rsidR="00D8330C" w:rsidRPr="004B4CFE">
        <w:rPr>
          <w:rFonts w:ascii="Arial" w:eastAsia="Arial" w:hAnsi="Arial" w:cs="Arial"/>
          <w:color w:val="auto"/>
          <w:szCs w:val="22"/>
        </w:rPr>
        <w:t>è</w:t>
      </w:r>
      <w:r w:rsidRPr="004B4CFE">
        <w:rPr>
          <w:rFonts w:ascii="Arial" w:eastAsia="Arial" w:hAnsi="Arial" w:cs="Arial"/>
          <w:color w:val="auto"/>
          <w:szCs w:val="22"/>
        </w:rPr>
        <w:t xml:space="preserve"> un coerente rapporto tra entrate e spese non ricorrenti.</w:t>
      </w:r>
    </w:p>
    <w:p w14:paraId="2A3E2F54" w14:textId="59F9C439" w:rsidR="000F434D" w:rsidRDefault="000F434D" w:rsidP="000F434D">
      <w:pPr>
        <w:ind w:hanging="2"/>
        <w:rPr>
          <w:rFonts w:ascii="Arial" w:eastAsia="Arial" w:hAnsi="Arial" w:cs="Arial"/>
          <w:i/>
          <w:iCs/>
          <w:color w:val="00B0F0"/>
          <w:szCs w:val="22"/>
        </w:rPr>
      </w:pPr>
      <w:r w:rsidRPr="00381F6D">
        <w:rPr>
          <w:rFonts w:ascii="Arial" w:eastAsia="Arial" w:hAnsi="Arial" w:cs="Arial"/>
          <w:i/>
          <w:iCs/>
          <w:color w:val="00B0F0"/>
          <w:szCs w:val="22"/>
        </w:rPr>
        <w:t>In caso negativo fornire chiarimenti</w:t>
      </w:r>
      <w:r w:rsidR="009A5514">
        <w:rPr>
          <w:rFonts w:ascii="Arial" w:eastAsia="Arial" w:hAnsi="Arial" w:cs="Arial"/>
          <w:i/>
          <w:iCs/>
          <w:color w:val="00B0F0"/>
          <w:szCs w:val="22"/>
        </w:rPr>
        <w:t>: ___________</w:t>
      </w:r>
      <w:r w:rsidRPr="00381F6D">
        <w:rPr>
          <w:rFonts w:ascii="Arial" w:eastAsia="Arial" w:hAnsi="Arial" w:cs="Arial"/>
          <w:i/>
          <w:iCs/>
          <w:color w:val="00B0F0"/>
          <w:szCs w:val="22"/>
        </w:rPr>
        <w:t>.</w:t>
      </w:r>
    </w:p>
    <w:p w14:paraId="7634CE25" w14:textId="5AF63629" w:rsidR="000F434D" w:rsidRDefault="005D67FF" w:rsidP="00B96B45">
      <w:pPr>
        <w:pBdr>
          <w:top w:val="nil"/>
          <w:left w:val="nil"/>
          <w:bottom w:val="nil"/>
          <w:right w:val="nil"/>
          <w:between w:val="nil"/>
        </w:pBdr>
        <w:spacing w:line="240" w:lineRule="auto"/>
        <w:outlineLvl w:val="0"/>
        <w:rPr>
          <w:rFonts w:ascii="Arial" w:eastAsia="Arial" w:hAnsi="Arial" w:cs="Arial"/>
          <w:b/>
          <w:i/>
          <w:szCs w:val="22"/>
        </w:rPr>
      </w:pPr>
      <w:bookmarkStart w:id="37" w:name="_heading=h.3o7alnk" w:colFirst="0" w:colLast="0"/>
      <w:bookmarkStart w:id="38" w:name="_Toc219808170"/>
      <w:bookmarkEnd w:id="37"/>
      <w:r>
        <w:rPr>
          <w:rFonts w:ascii="Calibri" w:eastAsiaTheme="majorEastAsia" w:hAnsi="Calibri" w:cs="Times New Roman (Titoli CS)"/>
          <w:b/>
          <w:i/>
          <w:iCs/>
          <w:color w:val="C00000"/>
          <w:sz w:val="28"/>
          <w:szCs w:val="40"/>
        </w:rPr>
        <w:t>6.8</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B62E12">
        <w:rPr>
          <w:rFonts w:ascii="Calibri" w:eastAsiaTheme="majorEastAsia" w:hAnsi="Calibri" w:cs="Times New Roman (Titoli CS)"/>
          <w:b/>
          <w:i/>
          <w:iCs/>
          <w:color w:val="C00000"/>
          <w:sz w:val="28"/>
          <w:szCs w:val="40"/>
        </w:rPr>
        <w:t>N</w:t>
      </w:r>
      <w:r w:rsidR="00D465E4">
        <w:rPr>
          <w:rFonts w:ascii="Calibri" w:eastAsiaTheme="majorEastAsia" w:hAnsi="Calibri" w:cs="Times New Roman (Titoli CS)"/>
          <w:b/>
          <w:i/>
          <w:iCs/>
          <w:color w:val="C00000"/>
          <w:sz w:val="28"/>
          <w:szCs w:val="40"/>
        </w:rPr>
        <w:t>ota integrativa</w:t>
      </w:r>
      <w:bookmarkEnd w:id="38"/>
    </w:p>
    <w:p w14:paraId="62D56444" w14:textId="159EB5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nota integrativa allegata al bilancio di previsione </w:t>
      </w:r>
      <w:r w:rsidRPr="00D8330C">
        <w:rPr>
          <w:rFonts w:ascii="Arial" w:eastAsia="Arial" w:hAnsi="Arial" w:cs="Arial"/>
          <w:b/>
          <w:iCs/>
          <w:color w:val="000000"/>
          <w:szCs w:val="22"/>
        </w:rPr>
        <w:t>riporta/non riporta</w:t>
      </w:r>
      <w:r>
        <w:rPr>
          <w:rFonts w:ascii="Arial" w:eastAsia="Arial" w:hAnsi="Arial" w:cs="Arial"/>
          <w:color w:val="000000"/>
          <w:szCs w:val="22"/>
        </w:rPr>
        <w:t xml:space="preserve"> le informazioni previste dal comma 5 dell’art.11 del D.lgs. 23/6/2011 n.118 e dal punto 9.11.1 del principio</w:t>
      </w:r>
      <w:r w:rsidR="00E82796">
        <w:rPr>
          <w:rFonts w:ascii="Arial" w:eastAsia="Arial" w:hAnsi="Arial" w:cs="Arial"/>
          <w:color w:val="000000"/>
          <w:szCs w:val="22"/>
        </w:rPr>
        <w:t xml:space="preserve"> contabile</w:t>
      </w:r>
      <w:r>
        <w:rPr>
          <w:rFonts w:ascii="Arial" w:eastAsia="Arial" w:hAnsi="Arial" w:cs="Arial"/>
          <w:color w:val="000000"/>
          <w:szCs w:val="22"/>
        </w:rPr>
        <w:t xml:space="preserve"> 4/1.</w:t>
      </w:r>
    </w:p>
    <w:p w14:paraId="2F74643D" w14:textId="69B3F352" w:rsidR="000F434D" w:rsidRDefault="00E82796" w:rsidP="0067743C">
      <w:pPr>
        <w:pBdr>
          <w:top w:val="nil"/>
          <w:left w:val="nil"/>
          <w:bottom w:val="nil"/>
          <w:right w:val="nil"/>
          <w:between w:val="nil"/>
        </w:pBdr>
        <w:spacing w:before="280" w:after="280" w:line="240" w:lineRule="auto"/>
        <w:ind w:hanging="2"/>
        <w:rPr>
          <w:rFonts w:ascii="Arial" w:eastAsia="Arial" w:hAnsi="Arial" w:cs="Arial"/>
          <w:i/>
          <w:color w:val="00B0F0"/>
          <w:szCs w:val="22"/>
        </w:rPr>
      </w:pPr>
      <w:r w:rsidRPr="00E82796">
        <w:rPr>
          <w:rFonts w:ascii="Arial" w:eastAsia="Arial" w:hAnsi="Arial" w:cs="Arial"/>
          <w:b/>
          <w:bCs/>
          <w:i/>
          <w:color w:val="00B0F0"/>
          <w:szCs w:val="22"/>
        </w:rPr>
        <w:t xml:space="preserve">N.B. </w:t>
      </w:r>
      <w:r w:rsidR="000F434D" w:rsidRPr="00E03175">
        <w:rPr>
          <w:rFonts w:ascii="Arial" w:eastAsia="Arial" w:hAnsi="Arial" w:cs="Arial"/>
          <w:i/>
          <w:color w:val="00B0F0"/>
          <w:szCs w:val="22"/>
        </w:rPr>
        <w:t>Per la compilazione di questa sezione si rimanda a</w:t>
      </w:r>
      <w:r w:rsidR="000F434D">
        <w:rPr>
          <w:rFonts w:ascii="Arial" w:eastAsia="Arial" w:hAnsi="Arial" w:cs="Arial"/>
          <w:i/>
          <w:color w:val="00B0F0"/>
          <w:szCs w:val="22"/>
        </w:rPr>
        <w:t>ll’a</w:t>
      </w:r>
      <w:r w:rsidR="000F434D" w:rsidRPr="00E03175">
        <w:rPr>
          <w:rFonts w:ascii="Arial" w:eastAsia="Arial" w:hAnsi="Arial" w:cs="Arial"/>
          <w:i/>
          <w:color w:val="00B0F0"/>
          <w:szCs w:val="22"/>
        </w:rPr>
        <w:t>pposita check list allegata.</w:t>
      </w:r>
      <w:bookmarkStart w:id="39" w:name="_heading=h.ihv636" w:colFirst="0" w:colLast="0"/>
      <w:bookmarkEnd w:id="39"/>
    </w:p>
    <w:p w14:paraId="7EBBF907" w14:textId="37250130" w:rsidR="00DD32B9" w:rsidRPr="00482A33" w:rsidRDefault="00DD32B9" w:rsidP="00DD32B9">
      <w:pPr>
        <w:pBdr>
          <w:top w:val="nil"/>
          <w:left w:val="nil"/>
          <w:bottom w:val="nil"/>
          <w:right w:val="nil"/>
          <w:between w:val="nil"/>
        </w:pBdr>
        <w:spacing w:line="240" w:lineRule="auto"/>
        <w:outlineLvl w:val="0"/>
        <w:rPr>
          <w:rFonts w:ascii="Arial" w:eastAsia="Arial" w:hAnsi="Arial" w:cs="Arial"/>
          <w:b/>
          <w:i/>
          <w:szCs w:val="22"/>
        </w:rPr>
      </w:pPr>
      <w:bookmarkStart w:id="40" w:name="_Toc219808171"/>
      <w:r w:rsidRPr="007D3544">
        <w:rPr>
          <w:rFonts w:ascii="Calibri" w:eastAsiaTheme="majorEastAsia" w:hAnsi="Calibri" w:cs="Times New Roman (Titoli CS)"/>
          <w:b/>
          <w:i/>
          <w:iCs/>
          <w:color w:val="C00000"/>
          <w:sz w:val="28"/>
          <w:szCs w:val="40"/>
        </w:rPr>
        <w:t>6</w:t>
      </w:r>
      <w:r w:rsidRPr="00482A33">
        <w:rPr>
          <w:rFonts w:ascii="Calibri" w:eastAsiaTheme="majorEastAsia" w:hAnsi="Calibri" w:cs="Times New Roman (Titoli CS)"/>
          <w:b/>
          <w:i/>
          <w:iCs/>
          <w:color w:val="C00000"/>
          <w:sz w:val="28"/>
          <w:szCs w:val="40"/>
        </w:rPr>
        <w:t>.9. Conguagli Fondi Covid-19</w:t>
      </w:r>
      <w:bookmarkEnd w:id="40"/>
    </w:p>
    <w:p w14:paraId="1714FFB7" w14:textId="77777777" w:rsidR="00DD32B9" w:rsidRPr="00482A33"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bookmarkStart w:id="41" w:name="_Hlk180484342"/>
      <w:r w:rsidRPr="00482A33">
        <w:rPr>
          <w:rFonts w:ascii="Arial" w:eastAsia="Arial" w:hAnsi="Arial" w:cs="Arial"/>
          <w:color w:val="000000"/>
          <w:szCs w:val="22"/>
        </w:rPr>
        <w:t>Per gli enti in surplus:</w:t>
      </w:r>
    </w:p>
    <w:p w14:paraId="7391D9EA" w14:textId="77777777" w:rsidR="00DD32B9" w:rsidRPr="00482A33"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r w:rsidRPr="00482A33">
        <w:rPr>
          <w:rFonts w:ascii="Arial" w:eastAsia="Arial" w:hAnsi="Arial" w:cs="Arial"/>
          <w:color w:val="000000"/>
          <w:szCs w:val="22"/>
        </w:rPr>
        <w:t>L’Organo di revisione ha verificato che:</w:t>
      </w:r>
    </w:p>
    <w:p w14:paraId="054206EF" w14:textId="251F3F8B"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lastRenderedPageBreak/>
        <w:t xml:space="preserve">le somme da restituire </w:t>
      </w:r>
      <w:r w:rsidRPr="00482A33">
        <w:rPr>
          <w:rFonts w:ascii="Arial" w:eastAsia="Arial" w:hAnsi="Arial" w:cs="Arial"/>
          <w:b/>
          <w:bCs/>
          <w:color w:val="000000"/>
        </w:rPr>
        <w:t>sono/non sono</w:t>
      </w:r>
      <w:r w:rsidRPr="00482A33">
        <w:rPr>
          <w:rFonts w:ascii="Arial" w:eastAsia="Arial" w:hAnsi="Arial" w:cs="Arial"/>
          <w:color w:val="000000"/>
        </w:rPr>
        <w:t xml:space="preserve"> stanziate in apposito capitolo con il codice </w:t>
      </w:r>
      <w:r w:rsidR="00675758" w:rsidRPr="00482A33">
        <w:rPr>
          <w:rFonts w:ascii="Arial" w:eastAsia="Arial" w:hAnsi="Arial" w:cs="Arial"/>
          <w:color w:val="000000"/>
        </w:rPr>
        <w:t>U.1.04.01.01.001 – “</w:t>
      </w:r>
      <w:r w:rsidR="00675758" w:rsidRPr="00482A33">
        <w:rPr>
          <w:rFonts w:ascii="Arial" w:eastAsia="Arial" w:hAnsi="Arial" w:cs="Arial"/>
          <w:i/>
          <w:iCs/>
          <w:color w:val="000000"/>
        </w:rPr>
        <w:t>Trasferimenti correnti a Ministeri</w:t>
      </w:r>
      <w:r w:rsidR="00675758" w:rsidRPr="00482A33">
        <w:rPr>
          <w:rFonts w:ascii="Arial" w:eastAsia="Arial" w:hAnsi="Arial" w:cs="Arial"/>
          <w:color w:val="000000"/>
        </w:rPr>
        <w:t>”</w:t>
      </w:r>
      <w:r w:rsidRPr="00482A33">
        <w:rPr>
          <w:rFonts w:ascii="Arial" w:eastAsia="Arial" w:hAnsi="Arial" w:cs="Arial"/>
          <w:color w:val="000000"/>
        </w:rPr>
        <w:t>, iscritto alla missione 01 «Servizi istituzionali, generali e di gestione», Programma 03 «Gestione economica, finanziaria, programmazione e provveditorato», Cofog 1.1 «Organi esecutivi e legislativi, attività finanziarie e fiscali e affari esteri».</w:t>
      </w:r>
    </w:p>
    <w:p w14:paraId="4DD811BB" w14:textId="3D4D35D9"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 xml:space="preserve">che tali somme </w:t>
      </w:r>
      <w:r w:rsidRPr="00482A33">
        <w:rPr>
          <w:rFonts w:ascii="Arial" w:eastAsia="Arial" w:hAnsi="Arial" w:cs="Arial"/>
          <w:b/>
          <w:bCs/>
          <w:color w:val="000000"/>
        </w:rPr>
        <w:t>sono/non sono</w:t>
      </w:r>
      <w:r w:rsidRPr="00482A33">
        <w:rPr>
          <w:rFonts w:ascii="Arial" w:eastAsia="Arial" w:hAnsi="Arial" w:cs="Arial"/>
          <w:color w:val="000000"/>
        </w:rPr>
        <w:t xml:space="preserve"> coperte per l’esercizio 202</w:t>
      </w:r>
      <w:r w:rsidR="00317F9E">
        <w:rPr>
          <w:rFonts w:ascii="Arial" w:eastAsia="Arial" w:hAnsi="Arial" w:cs="Arial"/>
          <w:color w:val="000000"/>
        </w:rPr>
        <w:t>6</w:t>
      </w:r>
      <w:r w:rsidRPr="00482A33">
        <w:rPr>
          <w:rFonts w:ascii="Arial" w:eastAsia="Arial" w:hAnsi="Arial" w:cs="Arial"/>
          <w:color w:val="000000"/>
        </w:rPr>
        <w:t>, con l’applicazione della quota di avanzo vincolato presunto, già risultante nel rendiconto 202</w:t>
      </w:r>
      <w:r w:rsidR="00317F9E">
        <w:rPr>
          <w:rFonts w:ascii="Arial" w:eastAsia="Arial" w:hAnsi="Arial" w:cs="Arial"/>
          <w:color w:val="000000"/>
        </w:rPr>
        <w:t>4</w:t>
      </w:r>
      <w:r w:rsidRPr="00482A33">
        <w:rPr>
          <w:rFonts w:ascii="Arial" w:eastAsia="Arial" w:hAnsi="Arial" w:cs="Arial"/>
          <w:color w:val="000000"/>
        </w:rPr>
        <w:t>.</w:t>
      </w:r>
    </w:p>
    <w:p w14:paraId="2C79007A" w14:textId="18EFAE0B"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lo schema di risultato di amministrazione presunto allegato al bilancio 202</w:t>
      </w:r>
      <w:r w:rsidR="00317F9E">
        <w:rPr>
          <w:rFonts w:ascii="Arial" w:eastAsia="Arial" w:hAnsi="Arial" w:cs="Arial"/>
          <w:color w:val="000000"/>
        </w:rPr>
        <w:t>6</w:t>
      </w:r>
      <w:r w:rsidRPr="00482A33">
        <w:rPr>
          <w:rFonts w:ascii="Arial" w:eastAsia="Arial" w:hAnsi="Arial" w:cs="Arial"/>
          <w:color w:val="000000"/>
        </w:rPr>
        <w:t>/202</w:t>
      </w:r>
      <w:r w:rsidR="00317F9E">
        <w:rPr>
          <w:rFonts w:ascii="Arial" w:eastAsia="Arial" w:hAnsi="Arial" w:cs="Arial"/>
          <w:color w:val="000000"/>
        </w:rPr>
        <w:t>8</w:t>
      </w:r>
      <w:r w:rsidRPr="00482A33">
        <w:rPr>
          <w:rFonts w:ascii="Arial" w:eastAsia="Arial" w:hAnsi="Arial" w:cs="Arial"/>
          <w:color w:val="000000"/>
        </w:rPr>
        <w:t xml:space="preserve"> </w:t>
      </w:r>
      <w:r w:rsidRPr="00482A33">
        <w:rPr>
          <w:rFonts w:ascii="Arial" w:eastAsia="Arial" w:hAnsi="Arial" w:cs="Arial"/>
          <w:b/>
          <w:bCs/>
          <w:color w:val="000000"/>
        </w:rPr>
        <w:t>è/non è</w:t>
      </w:r>
      <w:r w:rsidRPr="00482A33">
        <w:rPr>
          <w:rFonts w:ascii="Arial" w:eastAsia="Arial" w:hAnsi="Arial" w:cs="Arial"/>
          <w:color w:val="000000"/>
        </w:rPr>
        <w:t xml:space="preserve"> completamente redatto anche con riferimento alla terza parte riservata all’utilizzo del risultato di amministrazione presunto al 31 dicembre 202</w:t>
      </w:r>
      <w:r w:rsidR="00317F9E">
        <w:rPr>
          <w:rFonts w:ascii="Arial" w:eastAsia="Arial" w:hAnsi="Arial" w:cs="Arial"/>
          <w:color w:val="000000"/>
        </w:rPr>
        <w:t>5</w:t>
      </w:r>
      <w:r w:rsidRPr="00482A33">
        <w:rPr>
          <w:rFonts w:ascii="Arial" w:eastAsia="Arial" w:hAnsi="Arial" w:cs="Arial"/>
          <w:color w:val="000000"/>
        </w:rPr>
        <w:t>.</w:t>
      </w:r>
    </w:p>
    <w:p w14:paraId="11CB3140" w14:textId="0201B7F9"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al bilancio 202</w:t>
      </w:r>
      <w:r w:rsidR="00317F9E">
        <w:rPr>
          <w:rFonts w:ascii="Arial" w:eastAsia="Arial" w:hAnsi="Arial" w:cs="Arial"/>
          <w:color w:val="000000"/>
        </w:rPr>
        <w:t>6</w:t>
      </w:r>
      <w:r w:rsidRPr="00482A33">
        <w:rPr>
          <w:rFonts w:ascii="Arial" w:eastAsia="Arial" w:hAnsi="Arial" w:cs="Arial"/>
          <w:color w:val="000000"/>
        </w:rPr>
        <w:t>/202</w:t>
      </w:r>
      <w:r w:rsidR="00317F9E">
        <w:rPr>
          <w:rFonts w:ascii="Arial" w:eastAsia="Arial" w:hAnsi="Arial" w:cs="Arial"/>
          <w:color w:val="000000"/>
        </w:rPr>
        <w:t>8</w:t>
      </w:r>
      <w:r w:rsidRPr="00482A33">
        <w:rPr>
          <w:rFonts w:ascii="Arial" w:eastAsia="Arial" w:hAnsi="Arial" w:cs="Arial"/>
          <w:color w:val="000000"/>
        </w:rPr>
        <w:t xml:space="preserve"> </w:t>
      </w:r>
      <w:r w:rsidRPr="00482A33">
        <w:rPr>
          <w:rFonts w:ascii="Arial" w:eastAsia="Arial" w:hAnsi="Arial" w:cs="Arial"/>
          <w:b/>
          <w:bCs/>
          <w:color w:val="000000"/>
        </w:rPr>
        <w:t>è/non è</w:t>
      </w:r>
      <w:r w:rsidRPr="00482A33">
        <w:rPr>
          <w:rFonts w:ascii="Arial" w:eastAsia="Arial" w:hAnsi="Arial" w:cs="Arial"/>
          <w:color w:val="000000"/>
        </w:rPr>
        <w:t xml:space="preserve"> allegata la tabella A2.</w:t>
      </w:r>
    </w:p>
    <w:p w14:paraId="78E8A3B0" w14:textId="46B499EB" w:rsidR="00DD32B9" w:rsidRPr="00482A33" w:rsidRDefault="00DD32B9" w:rsidP="00EF4909">
      <w:pPr>
        <w:pBdr>
          <w:top w:val="nil"/>
          <w:left w:val="nil"/>
          <w:bottom w:val="nil"/>
          <w:right w:val="nil"/>
          <w:between w:val="nil"/>
        </w:pBdr>
        <w:spacing w:line="240" w:lineRule="auto"/>
        <w:rPr>
          <w:rFonts w:ascii="Arial" w:eastAsia="Arial" w:hAnsi="Arial" w:cs="Arial"/>
          <w:color w:val="000000"/>
        </w:rPr>
      </w:pPr>
      <w:r w:rsidRPr="00482A33">
        <w:rPr>
          <w:rFonts w:ascii="Arial" w:eastAsia="Arial" w:hAnsi="Arial" w:cs="Arial"/>
          <w:color w:val="000000"/>
        </w:rPr>
        <w:t>Per gli enti in deficit:</w:t>
      </w:r>
    </w:p>
    <w:p w14:paraId="6EDEF955" w14:textId="3815E5B3" w:rsidR="005B1FBB" w:rsidRDefault="00DD32B9"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r w:rsidRPr="00482A33">
        <w:rPr>
          <w:rFonts w:ascii="Arial" w:eastAsia="Arial" w:hAnsi="Arial" w:cs="Arial"/>
          <w:color w:val="000000"/>
        </w:rPr>
        <w:t xml:space="preserve">L’Organo di revisione ha verificato che tra le entrate </w:t>
      </w:r>
      <w:r w:rsidRPr="00482A33">
        <w:rPr>
          <w:rFonts w:ascii="Arial" w:eastAsia="Arial" w:hAnsi="Arial" w:cs="Arial"/>
          <w:b/>
          <w:bCs/>
          <w:color w:val="000000"/>
        </w:rPr>
        <w:t>è</w:t>
      </w:r>
      <w:r w:rsidR="00EF4909" w:rsidRPr="00482A33">
        <w:rPr>
          <w:rFonts w:ascii="Arial" w:eastAsia="Arial" w:hAnsi="Arial" w:cs="Arial"/>
          <w:b/>
          <w:bCs/>
          <w:color w:val="000000"/>
        </w:rPr>
        <w:t xml:space="preserve"> stato/</w:t>
      </w:r>
      <w:r w:rsidRPr="00482A33">
        <w:rPr>
          <w:rFonts w:ascii="Arial" w:eastAsia="Arial" w:hAnsi="Arial" w:cs="Arial"/>
          <w:b/>
          <w:bCs/>
          <w:color w:val="000000"/>
        </w:rPr>
        <w:t>non è stato</w:t>
      </w:r>
      <w:r w:rsidRPr="00482A33">
        <w:rPr>
          <w:rFonts w:ascii="Arial" w:eastAsia="Arial" w:hAnsi="Arial" w:cs="Arial"/>
          <w:color w:val="000000"/>
        </w:rPr>
        <w:t xml:space="preserve"> previsto un capitolo al Titolo 2, tipologia 101 «Trasferimenti correnti da Amministrazioni pubbliche», categoria «Trasferimenti correnti da amministrazioni centrali», codice E.2.01.01.01.001 </w:t>
      </w:r>
      <w:r w:rsidR="00675758" w:rsidRPr="00482A33">
        <w:rPr>
          <w:rFonts w:ascii="Arial" w:eastAsia="Arial" w:hAnsi="Arial" w:cs="Arial"/>
          <w:i/>
          <w:iCs/>
          <w:color w:val="000000"/>
        </w:rPr>
        <w:t xml:space="preserve">Trasferimenti correnti da Ministeri </w:t>
      </w:r>
      <w:r w:rsidRPr="00482A33">
        <w:rPr>
          <w:rFonts w:ascii="Arial" w:eastAsia="Arial" w:hAnsi="Arial" w:cs="Arial"/>
          <w:color w:val="000000"/>
        </w:rPr>
        <w:t>per l’importo che deve essere incamerato per le annualità 202</w:t>
      </w:r>
      <w:r w:rsidR="00B91AB6">
        <w:rPr>
          <w:rFonts w:ascii="Arial" w:eastAsia="Arial" w:hAnsi="Arial" w:cs="Arial"/>
          <w:color w:val="000000"/>
        </w:rPr>
        <w:t>6</w:t>
      </w:r>
      <w:r w:rsidRPr="00482A33">
        <w:rPr>
          <w:rFonts w:ascii="Arial" w:eastAsia="Arial" w:hAnsi="Arial" w:cs="Arial"/>
          <w:color w:val="000000"/>
        </w:rPr>
        <w:t>, 202</w:t>
      </w:r>
      <w:r w:rsidR="00B91AB6">
        <w:rPr>
          <w:rFonts w:ascii="Arial" w:eastAsia="Arial" w:hAnsi="Arial" w:cs="Arial"/>
          <w:color w:val="000000"/>
        </w:rPr>
        <w:t>7</w:t>
      </w:r>
      <w:r w:rsidRPr="00482A33">
        <w:rPr>
          <w:rFonts w:ascii="Arial" w:eastAsia="Arial" w:hAnsi="Arial" w:cs="Arial"/>
          <w:color w:val="000000"/>
        </w:rPr>
        <w:t xml:space="preserve"> e 202</w:t>
      </w:r>
      <w:r w:rsidR="00B91AB6">
        <w:rPr>
          <w:rFonts w:ascii="Arial" w:eastAsia="Arial" w:hAnsi="Arial" w:cs="Arial"/>
          <w:color w:val="000000"/>
        </w:rPr>
        <w:t>8</w:t>
      </w:r>
      <w:r w:rsidRPr="00482A33">
        <w:rPr>
          <w:rFonts w:ascii="Arial" w:eastAsia="Arial" w:hAnsi="Arial" w:cs="Arial"/>
          <w:color w:val="000000"/>
        </w:rPr>
        <w:t>.</w:t>
      </w:r>
      <w:bookmarkEnd w:id="41"/>
    </w:p>
    <w:p w14:paraId="3BDDDAF1" w14:textId="77777777" w:rsidR="00482A33" w:rsidRDefault="00482A33"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6811B725" w14:textId="4A959DEA" w:rsidR="00307C67" w:rsidRPr="00B20671" w:rsidRDefault="009A5514" w:rsidP="00307C67">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Pr>
          <w:rFonts w:ascii="Arial" w:eastAsia="Arial" w:hAnsi="Arial" w:cs="Arial"/>
          <w:i/>
          <w:iCs/>
          <w:color w:val="auto"/>
          <w:szCs w:val="22"/>
        </w:rPr>
        <w:t>I commi 835-838 dell</w:t>
      </w:r>
      <w:r w:rsidR="00307C67" w:rsidRPr="00C667C0">
        <w:rPr>
          <w:rFonts w:ascii="Arial" w:eastAsia="Arial" w:hAnsi="Arial" w:cs="Arial"/>
          <w:i/>
          <w:iCs/>
          <w:color w:val="auto"/>
          <w:szCs w:val="22"/>
        </w:rPr>
        <w:t xml:space="preserve">’art.1 </w:t>
      </w:r>
      <w:r w:rsidR="00307C67">
        <w:rPr>
          <w:rFonts w:ascii="Arial" w:eastAsia="Arial" w:hAnsi="Arial" w:cs="Arial"/>
          <w:i/>
          <w:iCs/>
          <w:color w:val="auto"/>
          <w:szCs w:val="22"/>
        </w:rPr>
        <w:t xml:space="preserve">della Legge di bilancio 2026 </w:t>
      </w:r>
      <w:r w:rsidR="00307C67" w:rsidRPr="00307C67">
        <w:rPr>
          <w:rFonts w:ascii="Arial" w:eastAsia="Arial" w:hAnsi="Arial" w:cs="Arial"/>
          <w:i/>
          <w:iCs/>
          <w:color w:val="auto"/>
          <w:szCs w:val="22"/>
        </w:rPr>
        <w:t>disciplinano dal 2026 il recupero dei contributi alla finanza</w:t>
      </w:r>
      <w:r w:rsidR="00307C67">
        <w:rPr>
          <w:rFonts w:ascii="Arial" w:eastAsia="Arial" w:hAnsi="Arial" w:cs="Arial"/>
          <w:i/>
          <w:iCs/>
          <w:color w:val="auto"/>
          <w:szCs w:val="22"/>
        </w:rPr>
        <w:t xml:space="preserve"> </w:t>
      </w:r>
      <w:r w:rsidR="00307C67" w:rsidRPr="00307C67">
        <w:rPr>
          <w:rFonts w:ascii="Arial" w:eastAsia="Arial" w:hAnsi="Arial" w:cs="Arial"/>
          <w:i/>
          <w:iCs/>
          <w:color w:val="auto"/>
          <w:szCs w:val="22"/>
        </w:rPr>
        <w:t>pubblica e delle risorse COVID eccedenti tramite trattenute sui</w:t>
      </w:r>
      <w:r w:rsidR="00307C67">
        <w:rPr>
          <w:rFonts w:ascii="Arial" w:eastAsia="Arial" w:hAnsi="Arial" w:cs="Arial"/>
          <w:i/>
          <w:iCs/>
          <w:color w:val="auto"/>
          <w:szCs w:val="22"/>
        </w:rPr>
        <w:t xml:space="preserve"> </w:t>
      </w:r>
      <w:r w:rsidR="00307C67" w:rsidRPr="00307C67">
        <w:rPr>
          <w:rFonts w:ascii="Arial" w:eastAsia="Arial" w:hAnsi="Arial" w:cs="Arial"/>
          <w:i/>
          <w:iCs/>
          <w:color w:val="auto"/>
          <w:szCs w:val="22"/>
        </w:rPr>
        <w:t>trasferimenti agli enti locali.</w:t>
      </w:r>
    </w:p>
    <w:p w14:paraId="2118CB57" w14:textId="77777777" w:rsidR="0059751B" w:rsidRDefault="0059751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1DD07DF2" w14:textId="5E0E8A5D" w:rsidR="00AD7B50" w:rsidRDefault="005D67FF" w:rsidP="005B1FBB">
      <w:pPr>
        <w:pStyle w:val="Titolo1"/>
        <w:numPr>
          <w:ilvl w:val="0"/>
          <w:numId w:val="0"/>
        </w:numPr>
        <w:rPr>
          <w:rFonts w:ascii="Cambria" w:eastAsia="Cambria" w:hAnsi="Cambria" w:cs="Cambria"/>
          <w:b w:val="0"/>
          <w:color w:val="000000"/>
          <w:sz w:val="32"/>
          <w:szCs w:val="32"/>
        </w:rPr>
      </w:pPr>
      <w:bookmarkStart w:id="42" w:name="_Toc219808172"/>
      <w:r>
        <w:t>7</w:t>
      </w:r>
      <w:r w:rsidR="00AD7B50" w:rsidRPr="00867831">
        <w:t xml:space="preserve">. </w:t>
      </w:r>
      <w:r w:rsidR="00AD7B50">
        <w:t>V</w:t>
      </w:r>
      <w:r w:rsidR="00D465E4">
        <w:t>ERIFICA ATTENDIBILITA’ E CONGRUITA’ DELLE PREVISIONI</w:t>
      </w:r>
      <w:bookmarkEnd w:id="42"/>
    </w:p>
    <w:p w14:paraId="3AE3D27E" w14:textId="611C656E" w:rsidR="000F434D" w:rsidRPr="00B96B45" w:rsidRDefault="0067743C"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43" w:name="_Toc219808173"/>
      <w:r w:rsidRPr="00B96B45">
        <w:rPr>
          <w:rFonts w:ascii="Calibri" w:eastAsiaTheme="majorEastAsia" w:hAnsi="Calibri" w:cs="Times New Roman (Titoli CS)"/>
          <w:b/>
          <w:i/>
          <w:iCs/>
          <w:color w:val="C00000"/>
          <w:sz w:val="28"/>
          <w:szCs w:val="40"/>
        </w:rPr>
        <w:t>7</w:t>
      </w:r>
      <w:r w:rsidR="00B37E3E" w:rsidRPr="00B96B45">
        <w:rPr>
          <w:rFonts w:ascii="Calibri" w:eastAsiaTheme="majorEastAsia" w:hAnsi="Calibri" w:cs="Times New Roman (Titoli CS)"/>
          <w:b/>
          <w:i/>
          <w:iCs/>
          <w:color w:val="C00000"/>
          <w:sz w:val="28"/>
          <w:szCs w:val="40"/>
        </w:rPr>
        <w:t>.1</w:t>
      </w:r>
      <w:r w:rsidR="000F434D" w:rsidRPr="00B96B45">
        <w:rPr>
          <w:rFonts w:ascii="Calibri" w:eastAsiaTheme="majorEastAsia" w:hAnsi="Calibri" w:cs="Times New Roman (Titoli CS)"/>
          <w:b/>
          <w:i/>
          <w:iCs/>
          <w:color w:val="C00000"/>
          <w:sz w:val="28"/>
          <w:szCs w:val="40"/>
        </w:rPr>
        <w:t xml:space="preserve"> E</w:t>
      </w:r>
      <w:r w:rsidR="00452126">
        <w:rPr>
          <w:rFonts w:ascii="Calibri" w:eastAsiaTheme="majorEastAsia" w:hAnsi="Calibri" w:cs="Times New Roman (Titoli CS)"/>
          <w:b/>
          <w:i/>
          <w:iCs/>
          <w:color w:val="C00000"/>
          <w:sz w:val="28"/>
          <w:szCs w:val="40"/>
        </w:rPr>
        <w:t>ntrate</w:t>
      </w:r>
      <w:bookmarkEnd w:id="43"/>
      <w:r w:rsidR="000F434D" w:rsidRPr="00B96B45">
        <w:rPr>
          <w:rFonts w:ascii="Calibri" w:eastAsiaTheme="majorEastAsia" w:hAnsi="Calibri" w:cs="Times New Roman (Titoli CS)"/>
          <w:b/>
          <w:i/>
          <w:iCs/>
          <w:color w:val="C00000"/>
          <w:sz w:val="28"/>
          <w:szCs w:val="40"/>
        </w:rPr>
        <w:t xml:space="preserve"> </w:t>
      </w:r>
    </w:p>
    <w:p w14:paraId="47689471" w14:textId="65DC55AC" w:rsidR="000F434D" w:rsidRPr="0089214D" w:rsidRDefault="000F434D" w:rsidP="000F434D">
      <w:pPr>
        <w:pBdr>
          <w:top w:val="nil"/>
          <w:left w:val="nil"/>
          <w:bottom w:val="nil"/>
          <w:right w:val="nil"/>
          <w:between w:val="nil"/>
        </w:pBdr>
        <w:tabs>
          <w:tab w:val="left" w:pos="708"/>
        </w:tabs>
        <w:spacing w:line="240" w:lineRule="auto"/>
        <w:ind w:hanging="2"/>
        <w:rPr>
          <w:rFonts w:ascii="Arial" w:eastAsia="Arial" w:hAnsi="Arial" w:cs="Arial"/>
          <w:color w:val="000000"/>
          <w:szCs w:val="22"/>
        </w:rPr>
      </w:pPr>
      <w:r w:rsidRPr="0089214D">
        <w:rPr>
          <w:rFonts w:ascii="Arial" w:eastAsia="Arial" w:hAnsi="Arial" w:cs="Arial"/>
          <w:color w:val="000000"/>
          <w:szCs w:val="22"/>
        </w:rPr>
        <w:t xml:space="preserve">Ai </w:t>
      </w:r>
      <w:r>
        <w:rPr>
          <w:rFonts w:ascii="Arial" w:eastAsia="Arial" w:hAnsi="Arial" w:cs="Arial"/>
          <w:color w:val="000000"/>
          <w:szCs w:val="22"/>
        </w:rPr>
        <w:t>fi</w:t>
      </w:r>
      <w:r w:rsidRPr="0089214D">
        <w:rPr>
          <w:rFonts w:ascii="Arial" w:eastAsia="Arial" w:hAnsi="Arial" w:cs="Arial"/>
          <w:color w:val="000000"/>
          <w:szCs w:val="22"/>
        </w:rPr>
        <w:t>ni della verifica dell’attendibilità delle entrate e congruità delle spese previste per gli esercizi 202</w:t>
      </w:r>
      <w:r w:rsidR="009C38AA">
        <w:rPr>
          <w:rFonts w:ascii="Arial" w:eastAsia="Arial" w:hAnsi="Arial" w:cs="Arial"/>
          <w:color w:val="000000"/>
          <w:szCs w:val="22"/>
        </w:rPr>
        <w:t>6</w:t>
      </w:r>
      <w:r w:rsidRPr="0089214D">
        <w:rPr>
          <w:rFonts w:ascii="Arial" w:eastAsia="Arial" w:hAnsi="Arial" w:cs="Arial"/>
          <w:color w:val="000000"/>
          <w:szCs w:val="22"/>
        </w:rPr>
        <w:t>-202</w:t>
      </w:r>
      <w:r w:rsidR="009C38AA">
        <w:rPr>
          <w:rFonts w:ascii="Arial" w:eastAsia="Arial" w:hAnsi="Arial" w:cs="Arial"/>
          <w:color w:val="000000"/>
          <w:szCs w:val="22"/>
        </w:rPr>
        <w:t>8</w:t>
      </w:r>
      <w:r w:rsidRPr="0089214D">
        <w:rPr>
          <w:rFonts w:ascii="Arial" w:eastAsia="Arial" w:hAnsi="Arial" w:cs="Arial"/>
          <w:color w:val="000000"/>
          <w:szCs w:val="22"/>
        </w:rPr>
        <w:t>, alla luce della manovra disposta dall’</w:t>
      </w:r>
      <w:r w:rsidR="009F0E85">
        <w:rPr>
          <w:rFonts w:ascii="Arial" w:eastAsia="Arial" w:hAnsi="Arial" w:cs="Arial"/>
          <w:color w:val="000000"/>
          <w:szCs w:val="22"/>
        </w:rPr>
        <w:t>E</w:t>
      </w:r>
      <w:r w:rsidRPr="0089214D">
        <w:rPr>
          <w:rFonts w:ascii="Arial" w:eastAsia="Arial" w:hAnsi="Arial" w:cs="Arial"/>
          <w:color w:val="000000"/>
          <w:szCs w:val="22"/>
        </w:rPr>
        <w:t xml:space="preserve">nte, </w:t>
      </w:r>
      <w:r>
        <w:rPr>
          <w:rFonts w:ascii="Arial" w:eastAsia="Arial" w:hAnsi="Arial" w:cs="Arial"/>
          <w:color w:val="000000"/>
          <w:szCs w:val="22"/>
        </w:rPr>
        <w:t xml:space="preserve">l’Organo di revisione ha </w:t>
      </w:r>
      <w:r w:rsidRPr="0089214D">
        <w:rPr>
          <w:rFonts w:ascii="Arial" w:eastAsia="Arial" w:hAnsi="Arial" w:cs="Arial"/>
          <w:color w:val="000000"/>
          <w:szCs w:val="22"/>
        </w:rPr>
        <w:t>analizzat</w:t>
      </w:r>
      <w:r>
        <w:rPr>
          <w:rFonts w:ascii="Arial" w:eastAsia="Arial" w:hAnsi="Arial" w:cs="Arial"/>
          <w:color w:val="000000"/>
          <w:szCs w:val="22"/>
        </w:rPr>
        <w:t>o</w:t>
      </w:r>
      <w:r w:rsidRPr="0089214D">
        <w:rPr>
          <w:rFonts w:ascii="Arial" w:eastAsia="Arial" w:hAnsi="Arial" w:cs="Arial"/>
          <w:color w:val="000000"/>
          <w:szCs w:val="22"/>
        </w:rPr>
        <w:t xml:space="preserve"> in particolare le voci di bilancio </w:t>
      </w:r>
      <w:r>
        <w:rPr>
          <w:rFonts w:ascii="Arial" w:eastAsia="Arial" w:hAnsi="Arial" w:cs="Arial"/>
          <w:color w:val="000000"/>
          <w:szCs w:val="22"/>
        </w:rPr>
        <w:t>di seguito</w:t>
      </w:r>
      <w:r w:rsidRPr="0089214D">
        <w:rPr>
          <w:rFonts w:ascii="Arial" w:eastAsia="Arial" w:hAnsi="Arial" w:cs="Arial"/>
          <w:color w:val="000000"/>
          <w:szCs w:val="22"/>
        </w:rPr>
        <w:t xml:space="preserve"> riportate.</w:t>
      </w:r>
    </w:p>
    <w:p w14:paraId="1283FED7" w14:textId="153B7F5D" w:rsidR="000F434D" w:rsidRPr="00D465E4" w:rsidRDefault="0067743C" w:rsidP="000F434D">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D465E4">
        <w:rPr>
          <w:rFonts w:ascii="Calibri" w:eastAsiaTheme="majorEastAsia" w:hAnsi="Calibri" w:cs="Times New Roman (Titoli CS)"/>
          <w:b/>
          <w:color w:val="C00000"/>
          <w:sz w:val="28"/>
          <w:szCs w:val="40"/>
        </w:rPr>
        <w:t>.1.1</w:t>
      </w:r>
      <w:r w:rsidR="00D465E4" w:rsidRPr="00D465E4">
        <w:rPr>
          <w:rFonts w:ascii="Calibri" w:eastAsiaTheme="majorEastAsia" w:hAnsi="Calibri" w:cs="Times New Roman (Titoli CS)"/>
          <w:b/>
          <w:color w:val="C00000"/>
          <w:sz w:val="28"/>
          <w:szCs w:val="40"/>
        </w:rPr>
        <w:t xml:space="preserve">. </w:t>
      </w:r>
      <w:r w:rsidR="000F434D" w:rsidRPr="00D465E4">
        <w:rPr>
          <w:rFonts w:ascii="Calibri" w:eastAsiaTheme="majorEastAsia" w:hAnsi="Calibri" w:cs="Times New Roman (Titoli CS)"/>
          <w:b/>
          <w:color w:val="C00000"/>
          <w:sz w:val="28"/>
          <w:szCs w:val="40"/>
        </w:rPr>
        <w:t>Entrate da fiscalità locale</w:t>
      </w:r>
    </w:p>
    <w:p w14:paraId="24F1C21F"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Addizionale Comunale all’Irpef</w:t>
      </w:r>
    </w:p>
    <w:p w14:paraId="4054E58A" w14:textId="7230F710"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applicato, ai sensi dell’art. 1 del D.lgs. n.360/1998, l’addizionale all’IRPEF, fissandone l’aliquota in misura del…………….. (</w:t>
      </w:r>
      <w:r w:rsidR="00160626">
        <w:rPr>
          <w:rFonts w:ascii="Arial" w:eastAsia="Arial" w:hAnsi="Arial" w:cs="Arial"/>
          <w:i/>
          <w:color w:val="000000"/>
          <w:szCs w:val="22"/>
        </w:rPr>
        <w:t>eventuale</w:t>
      </w:r>
      <w:r w:rsidR="00160626">
        <w:rPr>
          <w:rFonts w:ascii="Arial" w:eastAsia="Arial" w:hAnsi="Arial" w:cs="Arial"/>
          <w:color w:val="000000"/>
          <w:szCs w:val="22"/>
        </w:rPr>
        <w:t>:</w:t>
      </w:r>
      <w:r>
        <w:rPr>
          <w:rFonts w:ascii="Arial" w:eastAsia="Arial" w:hAnsi="Arial" w:cs="Arial"/>
          <w:color w:val="000000"/>
          <w:szCs w:val="22"/>
        </w:rPr>
        <w:t xml:space="preserve"> con una soglia di esenzione per redditi fino a euro…..)</w:t>
      </w:r>
    </w:p>
    <w:p w14:paraId="79514F1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w:t>
      </w:r>
    </w:p>
    <w:p w14:paraId="3F539B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ha applicato, ai sensi dell’art.1 del D.lgs. n.360/1998, l’addizionale all’IRPEF, fissandone le aliquote sulla base dei seguenti scaglioni di reddito:</w:t>
      </w:r>
    </w:p>
    <w:p w14:paraId="5240BB99" w14:textId="77777777" w:rsidR="006202C9"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73081713" w14:textId="59454A50" w:rsidR="000F434D" w:rsidRDefault="00D465E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TABELLA 8</w:t>
      </w:r>
      <w:r w:rsidR="007F7881">
        <w:rPr>
          <w:rFonts w:ascii="Arial" w:eastAsia="Arial" w:hAnsi="Arial" w:cs="Arial"/>
          <w:b/>
          <w:bCs/>
          <w:color w:val="000000"/>
          <w:szCs w:val="22"/>
        </w:rPr>
        <w:t>-a</w:t>
      </w:r>
    </w:p>
    <w:p w14:paraId="7EE2AE4A" w14:textId="77777777" w:rsidR="006202C9" w:rsidRPr="00D465E4"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47A7A88" w14:textId="541ECA5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4" w:name="_heading=h.2grqrue" w:colFirst="0" w:colLast="0"/>
      <w:bookmarkEnd w:id="44"/>
      <w:r>
        <w:rPr>
          <w:rFonts w:ascii="Arial" w:eastAsia="Arial" w:hAnsi="Arial" w:cs="Arial"/>
          <w:color w:val="000000"/>
          <w:szCs w:val="22"/>
        </w:rPr>
        <w:lastRenderedPageBreak/>
        <w:t xml:space="preserve">L’Organo di revisione ha verificato che le previsioni di gettito </w:t>
      </w:r>
      <w:r w:rsidRPr="008F17B0">
        <w:rPr>
          <w:rFonts w:ascii="Arial" w:eastAsia="Arial" w:hAnsi="Arial" w:cs="Arial"/>
          <w:b/>
          <w:bCs/>
          <w:color w:val="000000"/>
          <w:szCs w:val="22"/>
        </w:rPr>
        <w:t>sono/non sono coerenti</w:t>
      </w:r>
      <w:r>
        <w:rPr>
          <w:rFonts w:ascii="Arial" w:eastAsia="Arial" w:hAnsi="Arial" w:cs="Arial"/>
          <w:color w:val="000000"/>
          <w:szCs w:val="22"/>
        </w:rPr>
        <w:t xml:space="preserve"> a quanto disposto dal punto 3.7.5 del principio 4/2 del D.</w:t>
      </w:r>
      <w:r w:rsidR="001C6E97">
        <w:rPr>
          <w:rFonts w:ascii="Arial" w:eastAsia="Arial" w:hAnsi="Arial" w:cs="Arial"/>
          <w:color w:val="000000"/>
          <w:szCs w:val="22"/>
        </w:rPr>
        <w:t>l</w:t>
      </w:r>
      <w:r>
        <w:rPr>
          <w:rFonts w:ascii="Arial" w:eastAsia="Arial" w:hAnsi="Arial" w:cs="Arial"/>
          <w:color w:val="000000"/>
          <w:szCs w:val="22"/>
        </w:rPr>
        <w:t>gs</w:t>
      </w:r>
      <w:r w:rsidR="00037B83">
        <w:rPr>
          <w:rFonts w:ascii="Arial" w:eastAsia="Arial" w:hAnsi="Arial" w:cs="Arial"/>
          <w:color w:val="000000"/>
          <w:szCs w:val="22"/>
        </w:rPr>
        <w:t>.</w:t>
      </w:r>
      <w:r>
        <w:rPr>
          <w:rFonts w:ascii="Arial" w:eastAsia="Arial" w:hAnsi="Arial" w:cs="Arial"/>
          <w:color w:val="000000"/>
          <w:szCs w:val="22"/>
        </w:rPr>
        <w:t xml:space="preserve"> </w:t>
      </w:r>
      <w:r w:rsidR="008102EA">
        <w:rPr>
          <w:rFonts w:ascii="Arial" w:eastAsia="Arial" w:hAnsi="Arial" w:cs="Arial"/>
          <w:color w:val="000000"/>
          <w:szCs w:val="22"/>
        </w:rPr>
        <w:t>n.</w:t>
      </w:r>
      <w:r>
        <w:rPr>
          <w:rFonts w:ascii="Arial" w:eastAsia="Arial" w:hAnsi="Arial" w:cs="Arial"/>
          <w:color w:val="000000"/>
          <w:szCs w:val="22"/>
        </w:rPr>
        <w:t>118/2011.</w:t>
      </w:r>
    </w:p>
    <w:p w14:paraId="54553185" w14:textId="77777777" w:rsidR="00802D38" w:rsidRPr="004B4CFE" w:rsidRDefault="00802D38" w:rsidP="00802D38">
      <w:pPr>
        <w:spacing w:line="240" w:lineRule="auto"/>
        <w:ind w:hanging="2"/>
        <w:rPr>
          <w:rFonts w:ascii="Arial" w:eastAsia="Arial" w:hAnsi="Arial" w:cs="Arial"/>
          <w:color w:val="auto"/>
          <w:szCs w:val="22"/>
        </w:rPr>
      </w:pPr>
    </w:p>
    <w:p w14:paraId="06EAAF0F" w14:textId="0662246D" w:rsidR="00802D38" w:rsidRPr="00B20671" w:rsidRDefault="00802D38" w:rsidP="00802D38">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Pr>
          <w:rFonts w:ascii="Arial" w:eastAsia="Arial" w:hAnsi="Arial" w:cs="Arial"/>
          <w:i/>
          <w:iCs/>
          <w:color w:val="auto"/>
          <w:szCs w:val="22"/>
        </w:rPr>
        <w:t>L</w:t>
      </w:r>
      <w:r w:rsidRPr="00C667C0">
        <w:rPr>
          <w:rFonts w:ascii="Arial" w:eastAsia="Arial" w:hAnsi="Arial" w:cs="Arial"/>
          <w:i/>
          <w:iCs/>
          <w:color w:val="auto"/>
          <w:szCs w:val="22"/>
        </w:rPr>
        <w:t xml:space="preserve">’art.1 comma </w:t>
      </w:r>
      <w:r>
        <w:rPr>
          <w:rFonts w:ascii="Arial" w:eastAsia="Arial" w:hAnsi="Arial" w:cs="Arial"/>
          <w:i/>
          <w:iCs/>
          <w:color w:val="auto"/>
          <w:szCs w:val="22"/>
        </w:rPr>
        <w:t>650</w:t>
      </w:r>
      <w:r w:rsidRPr="00C667C0">
        <w:rPr>
          <w:rFonts w:ascii="Arial" w:eastAsia="Arial" w:hAnsi="Arial" w:cs="Arial"/>
          <w:i/>
          <w:iCs/>
          <w:color w:val="auto"/>
          <w:szCs w:val="22"/>
        </w:rPr>
        <w:t xml:space="preserve"> </w:t>
      </w:r>
      <w:r>
        <w:rPr>
          <w:rFonts w:ascii="Arial" w:eastAsia="Arial" w:hAnsi="Arial" w:cs="Arial"/>
          <w:i/>
          <w:iCs/>
          <w:color w:val="auto"/>
          <w:szCs w:val="22"/>
        </w:rPr>
        <w:t xml:space="preserve">della Legge di bilancio 2026 </w:t>
      </w:r>
      <w:r w:rsidRPr="00802D38">
        <w:rPr>
          <w:rFonts w:ascii="Arial" w:eastAsia="Arial" w:hAnsi="Arial" w:cs="Arial"/>
          <w:i/>
          <w:iCs/>
          <w:color w:val="auto"/>
          <w:szCs w:val="22"/>
        </w:rPr>
        <w:t>conferma la possibilità</w:t>
      </w:r>
      <w:r>
        <w:rPr>
          <w:rFonts w:ascii="Arial" w:eastAsia="Arial" w:hAnsi="Arial" w:cs="Arial"/>
          <w:i/>
          <w:iCs/>
          <w:color w:val="auto"/>
          <w:szCs w:val="22"/>
        </w:rPr>
        <w:t xml:space="preserve">, fino al 2028, </w:t>
      </w:r>
      <w:r w:rsidRPr="00802D38">
        <w:rPr>
          <w:rFonts w:ascii="Arial" w:eastAsia="Arial" w:hAnsi="Arial" w:cs="Arial"/>
          <w:i/>
          <w:iCs/>
          <w:color w:val="auto"/>
          <w:szCs w:val="22"/>
        </w:rPr>
        <w:t>per gli enti locali di</w:t>
      </w:r>
      <w:r>
        <w:rPr>
          <w:rFonts w:ascii="Arial" w:eastAsia="Arial" w:hAnsi="Arial" w:cs="Arial"/>
          <w:i/>
          <w:iCs/>
          <w:color w:val="auto"/>
          <w:szCs w:val="22"/>
        </w:rPr>
        <w:t xml:space="preserve"> </w:t>
      </w:r>
      <w:r w:rsidRPr="00802D38">
        <w:rPr>
          <w:rFonts w:ascii="Arial" w:eastAsia="Arial" w:hAnsi="Arial" w:cs="Arial"/>
          <w:i/>
          <w:iCs/>
          <w:color w:val="auto"/>
          <w:szCs w:val="22"/>
        </w:rPr>
        <w:t>deliberare entro il 15 aprile aliquote differenziate dell’addizionale comunale all’Irpef in base ai previgenti quattro</w:t>
      </w:r>
      <w:r>
        <w:rPr>
          <w:rFonts w:ascii="Arial" w:eastAsia="Arial" w:hAnsi="Arial" w:cs="Arial"/>
          <w:i/>
          <w:iCs/>
          <w:color w:val="auto"/>
          <w:szCs w:val="22"/>
        </w:rPr>
        <w:t xml:space="preserve"> </w:t>
      </w:r>
      <w:r w:rsidRPr="00802D38">
        <w:rPr>
          <w:rFonts w:ascii="Arial" w:eastAsia="Arial" w:hAnsi="Arial" w:cs="Arial"/>
          <w:i/>
          <w:iCs/>
          <w:color w:val="auto"/>
          <w:szCs w:val="22"/>
        </w:rPr>
        <w:t xml:space="preserve">scaglioni di reddito. </w:t>
      </w:r>
      <w:r>
        <w:rPr>
          <w:rFonts w:ascii="Arial" w:eastAsia="Arial" w:hAnsi="Arial" w:cs="Arial"/>
          <w:i/>
          <w:iCs/>
          <w:color w:val="auto"/>
          <w:szCs w:val="22"/>
        </w:rPr>
        <w:t>I</w:t>
      </w:r>
      <w:r w:rsidRPr="00802D38">
        <w:rPr>
          <w:rFonts w:ascii="Arial" w:eastAsia="Arial" w:hAnsi="Arial" w:cs="Arial"/>
          <w:i/>
          <w:iCs/>
          <w:color w:val="auto"/>
          <w:szCs w:val="22"/>
        </w:rPr>
        <w:t xml:space="preserve">n caso di mancata deliberazione comunale </w:t>
      </w:r>
      <w:r>
        <w:rPr>
          <w:rFonts w:ascii="Arial" w:eastAsia="Arial" w:hAnsi="Arial" w:cs="Arial"/>
          <w:i/>
          <w:iCs/>
          <w:color w:val="auto"/>
          <w:szCs w:val="22"/>
        </w:rPr>
        <w:t>sono</w:t>
      </w:r>
      <w:r w:rsidRPr="00802D38">
        <w:rPr>
          <w:rFonts w:ascii="Arial" w:eastAsia="Arial" w:hAnsi="Arial" w:cs="Arial"/>
          <w:i/>
          <w:iCs/>
          <w:color w:val="auto"/>
          <w:szCs w:val="22"/>
        </w:rPr>
        <w:t xml:space="preserve"> comunque</w:t>
      </w:r>
      <w:r>
        <w:rPr>
          <w:rFonts w:ascii="Arial" w:eastAsia="Arial" w:hAnsi="Arial" w:cs="Arial"/>
          <w:i/>
          <w:iCs/>
          <w:color w:val="auto"/>
          <w:szCs w:val="22"/>
        </w:rPr>
        <w:t xml:space="preserve"> </w:t>
      </w:r>
      <w:r w:rsidRPr="00802D38">
        <w:rPr>
          <w:rFonts w:ascii="Arial" w:eastAsia="Arial" w:hAnsi="Arial" w:cs="Arial"/>
          <w:i/>
          <w:iCs/>
          <w:color w:val="auto"/>
          <w:szCs w:val="22"/>
        </w:rPr>
        <w:t>applicati gli scaglioni e le aliquote vigenti nell’anno precedente a quello di riferimento.</w:t>
      </w:r>
    </w:p>
    <w:p w14:paraId="7CC61C78" w14:textId="77777777" w:rsidR="00802D38" w:rsidRDefault="00802D38" w:rsidP="000F434D">
      <w:pPr>
        <w:pBdr>
          <w:top w:val="nil"/>
          <w:left w:val="nil"/>
          <w:bottom w:val="nil"/>
          <w:right w:val="nil"/>
          <w:between w:val="nil"/>
        </w:pBdr>
        <w:spacing w:line="240" w:lineRule="auto"/>
        <w:ind w:hanging="2"/>
        <w:rPr>
          <w:rFonts w:ascii="Arial" w:eastAsia="Arial" w:hAnsi="Arial" w:cs="Arial"/>
          <w:bCs/>
          <w:color w:val="000000"/>
          <w:u w:val="single"/>
        </w:rPr>
      </w:pPr>
    </w:p>
    <w:p w14:paraId="1473B544" w14:textId="0895FAE0"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IMU</w:t>
      </w:r>
    </w:p>
    <w:p w14:paraId="5FFB78C4" w14:textId="5CBE47B7" w:rsidR="000F434D" w:rsidRPr="005A7ABA"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r w:rsidRPr="005A7ABA">
        <w:rPr>
          <w:rFonts w:ascii="Arial" w:eastAsia="Arial" w:hAnsi="Arial" w:cs="Arial"/>
          <w:i/>
          <w:color w:val="00B0F0"/>
          <w:szCs w:val="22"/>
        </w:rPr>
        <w:t>L</w:t>
      </w:r>
      <w:r w:rsidR="009F0E85">
        <w:rPr>
          <w:rFonts w:ascii="Arial" w:eastAsia="Arial" w:hAnsi="Arial" w:cs="Arial"/>
          <w:i/>
          <w:color w:val="00B0F0"/>
          <w:szCs w:val="22"/>
        </w:rPr>
        <w:t xml:space="preserve">’ </w:t>
      </w:r>
      <w:r w:rsidRPr="005A7ABA">
        <w:rPr>
          <w:rFonts w:ascii="Arial" w:eastAsia="Arial" w:hAnsi="Arial" w:cs="Arial"/>
          <w:i/>
          <w:color w:val="00B0F0"/>
          <w:szCs w:val="22"/>
        </w:rPr>
        <w:t>Imposta Municipale Propria (IMU) è disciplinata dalle disposizioni di cui all’articolo 1, commi da 739 a 780, Legge 27 dicembre 2019, n. 160.</w:t>
      </w:r>
    </w:p>
    <w:p w14:paraId="59CEB233" w14:textId="468B1C35" w:rsidR="00043C13" w:rsidRDefault="00043C13"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043C13">
        <w:rPr>
          <w:rFonts w:ascii="Arial" w:eastAsia="Arial" w:hAnsi="Arial" w:cs="Arial"/>
          <w:color w:val="000000"/>
          <w:szCs w:val="22"/>
        </w:rPr>
        <w:t xml:space="preserve">’Ente </w:t>
      </w:r>
      <w:r w:rsidRPr="0067743C">
        <w:rPr>
          <w:rFonts w:ascii="Arial" w:eastAsia="Arial" w:hAnsi="Arial" w:cs="Arial"/>
          <w:b/>
          <w:bCs/>
          <w:color w:val="000000"/>
          <w:szCs w:val="22"/>
        </w:rPr>
        <w:t>ha approvato/non ha approvato</w:t>
      </w:r>
      <w:r w:rsidRPr="00043C13">
        <w:rPr>
          <w:rFonts w:ascii="Arial" w:eastAsia="Arial" w:hAnsi="Arial" w:cs="Arial"/>
          <w:color w:val="000000"/>
          <w:szCs w:val="22"/>
        </w:rPr>
        <w:t xml:space="preserve"> le nuove aliquote </w:t>
      </w:r>
      <w:r>
        <w:rPr>
          <w:rFonts w:ascii="Arial" w:eastAsia="Arial" w:hAnsi="Arial" w:cs="Arial"/>
          <w:color w:val="000000"/>
          <w:szCs w:val="22"/>
        </w:rPr>
        <w:t>come da</w:t>
      </w:r>
      <w:r w:rsidRPr="00043C13">
        <w:rPr>
          <w:rFonts w:ascii="Arial" w:eastAsia="Arial" w:hAnsi="Arial" w:cs="Arial"/>
          <w:color w:val="000000"/>
          <w:szCs w:val="22"/>
        </w:rPr>
        <w:t xml:space="preserve"> tabella ministerial</w:t>
      </w:r>
      <w:r>
        <w:rPr>
          <w:rFonts w:ascii="Arial" w:eastAsia="Arial" w:hAnsi="Arial" w:cs="Arial"/>
          <w:color w:val="000000"/>
          <w:szCs w:val="22"/>
        </w:rPr>
        <w:t>e</w:t>
      </w:r>
      <w:r w:rsidR="00331D66">
        <w:rPr>
          <w:rFonts w:ascii="Arial" w:eastAsia="Arial" w:hAnsi="Arial" w:cs="Arial"/>
          <w:color w:val="000000"/>
          <w:szCs w:val="22"/>
        </w:rPr>
        <w:t>.</w:t>
      </w:r>
      <w:r w:rsidR="00A7674A" w:rsidRPr="00EF7249">
        <w:rPr>
          <w:rStyle w:val="Rimandonotaapidipagina"/>
          <w:rFonts w:ascii="Arial" w:eastAsia="Arial" w:hAnsi="Arial" w:cs="Arial"/>
          <w:color w:val="000000"/>
          <w:szCs w:val="22"/>
        </w:rPr>
        <w:footnoteReference w:id="4"/>
      </w:r>
    </w:p>
    <w:p w14:paraId="4EC6CC69" w14:textId="24B1F34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gettito stimato per l’Imposta Municipale Propria è il seguente e tiene conto dell’integrale esenzione dei beni-merce ai sensi del comma 751:</w:t>
      </w:r>
    </w:p>
    <w:p w14:paraId="0969C9BD" w14:textId="77777777" w:rsidR="00D465E4" w:rsidRDefault="00D465E4" w:rsidP="000F434D">
      <w:pPr>
        <w:pBdr>
          <w:top w:val="nil"/>
          <w:left w:val="nil"/>
          <w:bottom w:val="nil"/>
          <w:right w:val="nil"/>
          <w:between w:val="nil"/>
        </w:pBdr>
        <w:spacing w:line="240" w:lineRule="auto"/>
        <w:ind w:hanging="2"/>
        <w:rPr>
          <w:rFonts w:ascii="Arial" w:eastAsia="Arial" w:hAnsi="Arial" w:cs="Arial"/>
          <w:color w:val="000000"/>
          <w:szCs w:val="22"/>
        </w:rPr>
      </w:pPr>
    </w:p>
    <w:p w14:paraId="071FAF0F" w14:textId="61B454C4" w:rsidR="00D465E4" w:rsidRPr="00D465E4" w:rsidRDefault="00D465E4" w:rsidP="00D465E4">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b</w:t>
      </w:r>
    </w:p>
    <w:p w14:paraId="4C58D476" w14:textId="77777777" w:rsidR="00D465E4" w:rsidRDefault="00D465E4" w:rsidP="000F434D">
      <w:pPr>
        <w:pBdr>
          <w:top w:val="nil"/>
          <w:left w:val="nil"/>
          <w:bottom w:val="nil"/>
          <w:right w:val="nil"/>
          <w:between w:val="nil"/>
        </w:pBdr>
        <w:spacing w:line="240" w:lineRule="auto"/>
        <w:ind w:hanging="2"/>
        <w:rPr>
          <w:rFonts w:ascii="Arial" w:eastAsia="Arial" w:hAnsi="Arial" w:cs="Arial"/>
          <w:bCs/>
          <w:color w:val="000000"/>
          <w:u w:val="single"/>
        </w:rPr>
      </w:pPr>
      <w:bookmarkStart w:id="45" w:name="_heading=h.vx1227" w:colFirst="0" w:colLast="0"/>
      <w:bookmarkEnd w:id="45"/>
    </w:p>
    <w:p w14:paraId="027823D4" w14:textId="09A22E09" w:rsidR="00307C67" w:rsidRPr="009A39B7" w:rsidRDefault="009A39B7" w:rsidP="009A39B7">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I</w:t>
      </w:r>
      <w:r w:rsidR="00307C67" w:rsidRPr="00C667C0">
        <w:rPr>
          <w:rFonts w:ascii="Arial" w:eastAsia="Arial" w:hAnsi="Arial" w:cs="Arial"/>
          <w:i/>
          <w:iCs/>
          <w:color w:val="auto"/>
          <w:szCs w:val="22"/>
        </w:rPr>
        <w:t xml:space="preserve"> comm</w:t>
      </w:r>
      <w:r w:rsidR="00307C67">
        <w:rPr>
          <w:rFonts w:ascii="Arial" w:eastAsia="Arial" w:hAnsi="Arial" w:cs="Arial"/>
          <w:i/>
          <w:iCs/>
          <w:color w:val="auto"/>
          <w:szCs w:val="22"/>
        </w:rPr>
        <w:t xml:space="preserve">i 835-838 </w:t>
      </w:r>
      <w:r>
        <w:rPr>
          <w:rFonts w:ascii="Arial" w:eastAsia="Arial" w:hAnsi="Arial" w:cs="Arial"/>
          <w:i/>
          <w:iCs/>
          <w:color w:val="auto"/>
          <w:szCs w:val="22"/>
        </w:rPr>
        <w:t xml:space="preserve">dell’art.1 </w:t>
      </w:r>
      <w:r w:rsidR="00307C67">
        <w:rPr>
          <w:rFonts w:ascii="Arial" w:eastAsia="Arial" w:hAnsi="Arial" w:cs="Arial"/>
          <w:i/>
          <w:iCs/>
          <w:color w:val="auto"/>
          <w:szCs w:val="22"/>
        </w:rPr>
        <w:t xml:space="preserve">della Legge di bilancio 2026 </w:t>
      </w:r>
      <w:r w:rsidR="00307C67" w:rsidRPr="00307C67">
        <w:rPr>
          <w:rFonts w:ascii="Arial" w:eastAsia="Arial" w:hAnsi="Arial" w:cs="Arial"/>
          <w:i/>
          <w:iCs/>
          <w:color w:val="auto"/>
          <w:szCs w:val="22"/>
        </w:rPr>
        <w:t>amplia</w:t>
      </w:r>
      <w:r>
        <w:rPr>
          <w:rFonts w:ascii="Arial" w:eastAsia="Arial" w:hAnsi="Arial" w:cs="Arial"/>
          <w:i/>
          <w:iCs/>
          <w:color w:val="auto"/>
          <w:szCs w:val="22"/>
        </w:rPr>
        <w:t>no</w:t>
      </w:r>
      <w:r w:rsidR="00307C67" w:rsidRPr="00307C67">
        <w:rPr>
          <w:rFonts w:ascii="Arial" w:eastAsia="Arial" w:hAnsi="Arial" w:cs="Arial"/>
          <w:i/>
          <w:iCs/>
          <w:color w:val="auto"/>
          <w:szCs w:val="22"/>
        </w:rPr>
        <w:t>, in via di interpretazione autentica, i casi di esenzione IMU per attività sanitarie e didattiche non commerciali, con possibili riduzioni di gettito.</w:t>
      </w:r>
    </w:p>
    <w:p w14:paraId="56033C9A" w14:textId="77777777" w:rsidR="00307C67" w:rsidRDefault="00307C67" w:rsidP="00307C67">
      <w:pPr>
        <w:pBdr>
          <w:top w:val="nil"/>
          <w:left w:val="nil"/>
          <w:bottom w:val="nil"/>
          <w:right w:val="nil"/>
          <w:between w:val="nil"/>
        </w:pBdr>
        <w:spacing w:line="240" w:lineRule="auto"/>
        <w:ind w:hanging="2"/>
        <w:rPr>
          <w:rFonts w:ascii="Arial" w:eastAsia="Arial" w:hAnsi="Arial" w:cs="Arial"/>
          <w:bCs/>
          <w:color w:val="000000"/>
          <w:u w:val="single"/>
        </w:rPr>
      </w:pPr>
    </w:p>
    <w:p w14:paraId="3C27BD03" w14:textId="034D4712"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TARI</w:t>
      </w:r>
    </w:p>
    <w:p w14:paraId="7E8AAB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6" w:name="_heading=h.3fwokq0" w:colFirst="0" w:colLast="0"/>
      <w:bookmarkEnd w:id="46"/>
      <w:r>
        <w:rPr>
          <w:rFonts w:ascii="Arial" w:eastAsia="Arial" w:hAnsi="Arial" w:cs="Arial"/>
          <w:color w:val="000000"/>
          <w:szCs w:val="22"/>
        </w:rPr>
        <w:t>Il gettito stimato per la TARI è il seguente:</w:t>
      </w:r>
    </w:p>
    <w:p w14:paraId="28EDC8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7" w:name="_heading=h.1v1yuxt" w:colFirst="0" w:colLast="0"/>
      <w:bookmarkEnd w:id="47"/>
    </w:p>
    <w:p w14:paraId="30B21178" w14:textId="4685B1DA"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c</w:t>
      </w:r>
    </w:p>
    <w:p w14:paraId="42AD7352"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32DD9B3" w14:textId="5E05586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In particolare, per la TARI, l’</w:t>
      </w:r>
      <w:r>
        <w:rPr>
          <w:rFonts w:ascii="Arial" w:eastAsia="Arial" w:hAnsi="Arial" w:cs="Arial"/>
          <w:szCs w:val="22"/>
        </w:rPr>
        <w:t>E</w:t>
      </w:r>
      <w:r>
        <w:rPr>
          <w:rFonts w:ascii="Arial" w:eastAsia="Arial" w:hAnsi="Arial" w:cs="Arial"/>
          <w:color w:val="000000"/>
          <w:szCs w:val="22"/>
        </w:rPr>
        <w:t>nte ha previsto nel bilancio 202</w:t>
      </w:r>
      <w:r w:rsidR="009C38AA">
        <w:rPr>
          <w:rFonts w:ascii="Arial" w:eastAsia="Arial" w:hAnsi="Arial" w:cs="Arial"/>
          <w:color w:val="000000"/>
          <w:szCs w:val="22"/>
        </w:rPr>
        <w:t>6</w:t>
      </w:r>
      <w:r>
        <w:rPr>
          <w:rFonts w:ascii="Arial" w:eastAsia="Arial" w:hAnsi="Arial" w:cs="Arial"/>
          <w:color w:val="000000"/>
          <w:szCs w:val="22"/>
        </w:rPr>
        <w:t>, la somma di euro ………………, con un aumento/diminuzione di euro …………… rispetto alle previsioni definitive 202</w:t>
      </w:r>
      <w:r w:rsidR="00DB2D30">
        <w:rPr>
          <w:rFonts w:ascii="Arial" w:eastAsia="Arial" w:hAnsi="Arial" w:cs="Arial"/>
          <w:color w:val="000000"/>
          <w:szCs w:val="22"/>
        </w:rPr>
        <w:t>5</w:t>
      </w:r>
      <w:r w:rsidR="00AD7B50">
        <w:rPr>
          <w:rFonts w:ascii="Arial" w:eastAsia="Arial" w:hAnsi="Arial" w:cs="Arial"/>
          <w:szCs w:val="22"/>
        </w:rPr>
        <w:t xml:space="preserve"> </w:t>
      </w:r>
      <w:r>
        <w:rPr>
          <w:rFonts w:ascii="Arial" w:eastAsia="Arial" w:hAnsi="Arial" w:cs="Arial"/>
          <w:color w:val="000000"/>
          <w:szCs w:val="22"/>
        </w:rPr>
        <w:t>(o ultimo rendiconto).</w:t>
      </w:r>
    </w:p>
    <w:p w14:paraId="241026F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TARI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14:paraId="24D981C0" w14:textId="56F78E7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D8330C">
        <w:rPr>
          <w:rFonts w:ascii="Arial" w:eastAsia="Arial" w:hAnsi="Arial" w:cs="Arial"/>
          <w:b/>
          <w:iCs/>
          <w:color w:val="000000"/>
          <w:szCs w:val="22"/>
        </w:rPr>
        <w:t>ha/non ha</w:t>
      </w:r>
      <w:r>
        <w:rPr>
          <w:rFonts w:ascii="Arial" w:eastAsia="Arial" w:hAnsi="Arial" w:cs="Arial"/>
          <w:color w:val="000000"/>
          <w:szCs w:val="22"/>
        </w:rPr>
        <w:t xml:space="preserve"> approvato il Piano Economico Finanziario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secondo le prescrizioni contenute nelle delibere dell’Autorità di Regolazione per l’Energia, Reti e Ambiente (ARERA).</w:t>
      </w:r>
    </w:p>
    <w:p w14:paraId="0B7EC642" w14:textId="441B24B2" w:rsidR="00B163E0" w:rsidRDefault="00B163E0"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482A33">
        <w:rPr>
          <w:rFonts w:ascii="Arial" w:eastAsia="Arial" w:hAnsi="Arial" w:cs="Arial"/>
          <w:b/>
          <w:bCs/>
          <w:color w:val="000000"/>
          <w:szCs w:val="22"/>
        </w:rPr>
        <w:t>ha/non ha</w:t>
      </w:r>
      <w:r>
        <w:rPr>
          <w:rFonts w:ascii="Arial" w:eastAsia="Arial" w:hAnsi="Arial" w:cs="Arial"/>
          <w:color w:val="000000"/>
          <w:szCs w:val="22"/>
        </w:rPr>
        <w:t xml:space="preserve"> imp</w:t>
      </w:r>
      <w:r w:rsidR="00A15B50">
        <w:rPr>
          <w:rFonts w:ascii="Arial" w:eastAsia="Arial" w:hAnsi="Arial" w:cs="Arial"/>
          <w:color w:val="000000"/>
          <w:szCs w:val="22"/>
        </w:rPr>
        <w:t>o</w:t>
      </w:r>
      <w:r>
        <w:rPr>
          <w:rFonts w:ascii="Arial" w:eastAsia="Arial" w:hAnsi="Arial" w:cs="Arial"/>
          <w:color w:val="000000"/>
          <w:szCs w:val="22"/>
        </w:rPr>
        <w:t>stato il bilancio di previsione 2026</w:t>
      </w:r>
      <w:r w:rsidR="00482A33">
        <w:rPr>
          <w:rFonts w:ascii="Arial" w:eastAsia="Arial" w:hAnsi="Arial" w:cs="Arial"/>
          <w:color w:val="000000"/>
          <w:szCs w:val="22"/>
        </w:rPr>
        <w:t>-</w:t>
      </w:r>
      <w:r>
        <w:rPr>
          <w:rFonts w:ascii="Arial" w:eastAsia="Arial" w:hAnsi="Arial" w:cs="Arial"/>
          <w:color w:val="000000"/>
          <w:szCs w:val="22"/>
        </w:rPr>
        <w:t>2028 in relazione a</w:t>
      </w:r>
      <w:r w:rsidRPr="00B163E0">
        <w:rPr>
          <w:rFonts w:ascii="Arial" w:eastAsia="Arial" w:hAnsi="Arial" w:cs="Arial"/>
          <w:color w:val="000000"/>
          <w:szCs w:val="22"/>
        </w:rPr>
        <w:t>lle componenti perequative introdotte, in aggiunta alla Tari/tariffa corrispettiva, dalla deliberazione Arera n. 386/2023</w:t>
      </w:r>
      <w:r>
        <w:rPr>
          <w:rFonts w:ascii="Arial" w:eastAsia="Arial" w:hAnsi="Arial" w:cs="Arial"/>
          <w:color w:val="000000"/>
          <w:szCs w:val="22"/>
        </w:rPr>
        <w:t xml:space="preserve">, secondo le modalità di contabilizzazione stabilite dalla </w:t>
      </w:r>
      <w:r w:rsidRPr="00B163E0">
        <w:rPr>
          <w:rFonts w:ascii="Arial" w:eastAsia="Arial" w:hAnsi="Arial" w:cs="Arial"/>
          <w:color w:val="000000"/>
          <w:szCs w:val="22"/>
        </w:rPr>
        <w:t>Sezione Autonomie della Corte dei conti, con </w:t>
      </w:r>
      <w:r w:rsidRPr="0020586E">
        <w:rPr>
          <w:rFonts w:ascii="Arial" w:eastAsia="Arial" w:hAnsi="Arial" w:cs="Arial"/>
          <w:color w:val="000000"/>
          <w:szCs w:val="22"/>
        </w:rPr>
        <w:t>la delibera n. 13/2025</w:t>
      </w:r>
      <w:r>
        <w:rPr>
          <w:rFonts w:ascii="Arial" w:eastAsia="Arial" w:hAnsi="Arial" w:cs="Arial"/>
          <w:color w:val="000000"/>
          <w:szCs w:val="22"/>
        </w:rPr>
        <w:t>.</w:t>
      </w:r>
    </w:p>
    <w:p w14:paraId="722923D0" w14:textId="77777777" w:rsidR="00B163E0" w:rsidRDefault="00B163E0" w:rsidP="000F434D">
      <w:pPr>
        <w:pBdr>
          <w:top w:val="nil"/>
          <w:left w:val="nil"/>
          <w:bottom w:val="nil"/>
          <w:right w:val="nil"/>
          <w:between w:val="nil"/>
        </w:pBdr>
        <w:spacing w:line="240" w:lineRule="auto"/>
        <w:ind w:hanging="2"/>
        <w:rPr>
          <w:rFonts w:ascii="Arial" w:eastAsia="Arial" w:hAnsi="Arial" w:cs="Arial"/>
          <w:color w:val="000000"/>
          <w:szCs w:val="22"/>
        </w:rPr>
      </w:pPr>
    </w:p>
    <w:p w14:paraId="7FC9D72E" w14:textId="05A2AACE" w:rsidR="007A3921" w:rsidRPr="00B20671" w:rsidRDefault="00160626" w:rsidP="00802D38">
      <w:pPr>
        <w:pBdr>
          <w:top w:val="nil"/>
          <w:left w:val="nil"/>
          <w:bottom w:val="nil"/>
          <w:right w:val="nil"/>
          <w:between w:val="nil"/>
        </w:pBdr>
        <w:spacing w:line="240" w:lineRule="auto"/>
        <w:ind w:hanging="2"/>
        <w:rPr>
          <w:rFonts w:ascii="Arial" w:eastAsia="Arial" w:hAnsi="Arial" w:cs="Arial"/>
          <w:i/>
          <w:color w:val="00B0F0"/>
          <w:szCs w:val="22"/>
        </w:rPr>
      </w:pPr>
      <w:r w:rsidRPr="00D8330C">
        <w:rPr>
          <w:rFonts w:ascii="Arial" w:eastAsia="Arial" w:hAnsi="Arial" w:cs="Arial"/>
          <w:b/>
          <w:bCs/>
          <w:i/>
          <w:color w:val="00B0F0"/>
          <w:szCs w:val="22"/>
        </w:rPr>
        <w:t>N.B.</w:t>
      </w:r>
      <w:r>
        <w:rPr>
          <w:rFonts w:ascii="Arial" w:eastAsia="Arial" w:hAnsi="Arial" w:cs="Arial"/>
          <w:b/>
          <w:bCs/>
          <w:i/>
          <w:color w:val="00B0F0"/>
          <w:szCs w:val="22"/>
        </w:rPr>
        <w:t xml:space="preserve"> (</w:t>
      </w:r>
      <w:r w:rsidR="0020586E">
        <w:rPr>
          <w:rFonts w:ascii="Arial" w:eastAsia="Arial" w:hAnsi="Arial" w:cs="Arial"/>
          <w:b/>
          <w:bCs/>
          <w:i/>
          <w:color w:val="00B0F0"/>
          <w:szCs w:val="22"/>
        </w:rPr>
        <w:t>1)</w:t>
      </w:r>
      <w:r w:rsidR="000F434D" w:rsidRPr="00D8330C">
        <w:rPr>
          <w:rFonts w:ascii="Arial" w:eastAsia="Arial" w:hAnsi="Arial" w:cs="Arial"/>
          <w:b/>
          <w:bCs/>
          <w:i/>
          <w:color w:val="00B0F0"/>
          <w:szCs w:val="22"/>
        </w:rPr>
        <w:t xml:space="preserve"> </w:t>
      </w:r>
      <w:r w:rsidR="000F434D" w:rsidRPr="00B20671">
        <w:rPr>
          <w:rFonts w:ascii="Arial" w:eastAsia="Arial" w:hAnsi="Arial" w:cs="Arial"/>
          <w:i/>
          <w:color w:val="00B0F0"/>
          <w:szCs w:val="22"/>
        </w:rPr>
        <w:t>Si ricorda che il PEF deve essere validato prima dell’approvazione delle tariffe costituendo atto presupposto delle stesse (art.1, comma 683, legge n.147/2013)</w:t>
      </w:r>
      <w:r w:rsidR="00802D38">
        <w:rPr>
          <w:rFonts w:ascii="Arial" w:eastAsia="Arial" w:hAnsi="Arial" w:cs="Arial"/>
          <w:i/>
          <w:color w:val="00B0F0"/>
          <w:szCs w:val="22"/>
        </w:rPr>
        <w:t xml:space="preserve">.L’art.1 comma 677 della Legge di bilancio 2026 dispone che </w:t>
      </w:r>
      <w:r w:rsidR="00802D38" w:rsidRPr="00802D38">
        <w:rPr>
          <w:rFonts w:ascii="Arial" w:eastAsia="Arial" w:hAnsi="Arial" w:cs="Arial"/>
          <w:i/>
          <w:color w:val="00B0F0"/>
          <w:szCs w:val="22"/>
        </w:rPr>
        <w:t>a decorrere dall’anno 2026, i Comuni possono</w:t>
      </w:r>
      <w:r w:rsidR="00802D38">
        <w:rPr>
          <w:rFonts w:ascii="Arial" w:eastAsia="Arial" w:hAnsi="Arial" w:cs="Arial"/>
          <w:i/>
          <w:color w:val="00B0F0"/>
          <w:szCs w:val="22"/>
        </w:rPr>
        <w:t xml:space="preserve"> a</w:t>
      </w:r>
      <w:r w:rsidR="00802D38" w:rsidRPr="00802D38">
        <w:rPr>
          <w:rFonts w:ascii="Arial" w:eastAsia="Arial" w:hAnsi="Arial" w:cs="Arial"/>
          <w:i/>
          <w:color w:val="00B0F0"/>
          <w:szCs w:val="22"/>
        </w:rPr>
        <w:t>pprovare i piani finanziari del servizio di gestione dei rifiuti urbani, le tariffe e i</w:t>
      </w:r>
      <w:r w:rsidR="00802D38">
        <w:rPr>
          <w:rFonts w:ascii="Arial" w:eastAsia="Arial" w:hAnsi="Arial" w:cs="Arial"/>
          <w:i/>
          <w:color w:val="00B0F0"/>
          <w:szCs w:val="22"/>
        </w:rPr>
        <w:t xml:space="preserve"> </w:t>
      </w:r>
      <w:r w:rsidR="00802D38" w:rsidRPr="00802D38">
        <w:rPr>
          <w:rFonts w:ascii="Arial" w:eastAsia="Arial" w:hAnsi="Arial" w:cs="Arial"/>
          <w:i/>
          <w:color w:val="00B0F0"/>
          <w:szCs w:val="22"/>
        </w:rPr>
        <w:t>regolamenti della TARI e della tariffa corrispettiva entro il termine del 31 luglio di ciascun</w:t>
      </w:r>
      <w:r w:rsidR="00802D38">
        <w:rPr>
          <w:rFonts w:ascii="Arial" w:eastAsia="Arial" w:hAnsi="Arial" w:cs="Arial"/>
          <w:i/>
          <w:color w:val="00B0F0"/>
          <w:szCs w:val="22"/>
        </w:rPr>
        <w:t xml:space="preserve"> </w:t>
      </w:r>
      <w:r w:rsidR="00802D38" w:rsidRPr="00802D38">
        <w:rPr>
          <w:rFonts w:ascii="Arial" w:eastAsia="Arial" w:hAnsi="Arial" w:cs="Arial"/>
          <w:i/>
          <w:color w:val="00B0F0"/>
          <w:szCs w:val="22"/>
        </w:rPr>
        <w:t>anno</w:t>
      </w:r>
      <w:r w:rsidR="00802D38">
        <w:rPr>
          <w:rFonts w:ascii="Arial" w:eastAsia="Arial" w:hAnsi="Arial" w:cs="Arial"/>
          <w:i/>
          <w:color w:val="00B0F0"/>
          <w:szCs w:val="22"/>
        </w:rPr>
        <w:t xml:space="preserve"> (in luogo del previgente termine del</w:t>
      </w:r>
      <w:r w:rsidR="006F27B9" w:rsidRPr="00B20671">
        <w:rPr>
          <w:rFonts w:ascii="Arial" w:eastAsia="Arial" w:hAnsi="Arial" w:cs="Arial"/>
          <w:i/>
          <w:color w:val="00B0F0"/>
          <w:szCs w:val="22"/>
        </w:rPr>
        <w:t xml:space="preserve"> 30 aprile 202</w:t>
      </w:r>
      <w:r w:rsidR="007A3921" w:rsidRPr="00B20671">
        <w:rPr>
          <w:rFonts w:ascii="Arial" w:eastAsia="Arial" w:hAnsi="Arial" w:cs="Arial"/>
          <w:i/>
          <w:color w:val="00B0F0"/>
          <w:szCs w:val="22"/>
        </w:rPr>
        <w:t>6</w:t>
      </w:r>
      <w:r w:rsidR="00802D38">
        <w:rPr>
          <w:rFonts w:ascii="Arial" w:eastAsia="Arial" w:hAnsi="Arial" w:cs="Arial"/>
          <w:i/>
          <w:color w:val="00B0F0"/>
          <w:szCs w:val="22"/>
        </w:rPr>
        <w:t>)</w:t>
      </w:r>
      <w:r w:rsidR="00043C13" w:rsidRPr="00B20671">
        <w:rPr>
          <w:rFonts w:ascii="Arial" w:eastAsia="Arial" w:hAnsi="Arial" w:cs="Arial"/>
          <w:i/>
          <w:color w:val="00B0F0"/>
          <w:szCs w:val="22"/>
        </w:rPr>
        <w:t>.</w:t>
      </w:r>
    </w:p>
    <w:p w14:paraId="16E7382F" w14:textId="34C7BEE3" w:rsidR="001E05FD" w:rsidRPr="00B20671" w:rsidRDefault="007A3921" w:rsidP="001E05FD">
      <w:pPr>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b/>
          <w:bCs/>
          <w:i/>
          <w:color w:val="00B0F0"/>
          <w:szCs w:val="22"/>
        </w:rPr>
        <w:t>N.B. (2</w:t>
      </w:r>
      <w:r w:rsidR="00160626">
        <w:rPr>
          <w:rFonts w:ascii="Arial" w:eastAsia="Arial" w:hAnsi="Arial" w:cs="Arial"/>
          <w:b/>
          <w:bCs/>
          <w:i/>
          <w:color w:val="00B0F0"/>
          <w:szCs w:val="22"/>
        </w:rPr>
        <w:t xml:space="preserve">) </w:t>
      </w:r>
      <w:r w:rsidR="00160626" w:rsidRPr="0083377F" w:rsidDel="00043C13">
        <w:rPr>
          <w:rFonts w:ascii="Arial" w:eastAsia="Arial" w:hAnsi="Arial" w:cs="Arial"/>
          <w:b/>
          <w:bCs/>
          <w:i/>
          <w:color w:val="00B0F0"/>
          <w:szCs w:val="22"/>
        </w:rPr>
        <w:t>Con</w:t>
      </w:r>
      <w:r w:rsidR="001E05FD" w:rsidRPr="00B20671">
        <w:rPr>
          <w:rFonts w:ascii="Arial" w:eastAsia="Arial" w:hAnsi="Arial" w:cs="Arial"/>
          <w:i/>
          <w:color w:val="00B0F0"/>
          <w:szCs w:val="22"/>
        </w:rPr>
        <w:t xml:space="preserve"> la delibera n. 397/2025/R/rif, l’ARERA ha approvato il nuovo Metodo Tariffario Rifiuti (MTR-3), valido per il quadriennio 2026-2029. Il nuovo schema metodologico, nel solco dei precedenti (MTR-1 e MTR-2), conferma l’impianto generale di determinazione dei costi e dei limiti di crescita tariffaria, introducendo tuttavia alcuni affinamenti volti ad adeguare il sistema alla crescente complessità dei meccanismi di incentivazione delle gestioni più virtuose della raccolta differenziata.</w:t>
      </w:r>
      <w:r w:rsidR="0046016D" w:rsidRPr="00B20671">
        <w:rPr>
          <w:rFonts w:ascii="Arial" w:eastAsia="Arial" w:hAnsi="Arial" w:cs="Arial"/>
          <w:i/>
          <w:color w:val="00B0F0"/>
          <w:szCs w:val="22"/>
        </w:rPr>
        <w:t xml:space="preserve"> </w:t>
      </w:r>
      <w:r w:rsidR="001E05FD" w:rsidRPr="00B20671">
        <w:rPr>
          <w:rFonts w:ascii="Arial" w:eastAsia="Arial" w:hAnsi="Arial" w:cs="Arial"/>
          <w:i/>
          <w:color w:val="00B0F0"/>
          <w:szCs w:val="22"/>
        </w:rPr>
        <w:t>Tra gli elementi di maggiore rilievo del MTR-3 spicca la semplificazione procedurale relativa all’iter di approvazione del Piano Economico-Finanziario (PEF) da parte dell’Autorità.</w:t>
      </w:r>
    </w:p>
    <w:p w14:paraId="4AD94D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0B7BBFD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w:t>
      </w:r>
      <w:r w:rsidRPr="002D43F1">
        <w:rPr>
          <w:rFonts w:ascii="Arial" w:eastAsia="Arial" w:hAnsi="Arial" w:cs="Arial"/>
          <w:color w:val="000000"/>
          <w:szCs w:val="22"/>
        </w:rPr>
        <w:t>a modalità di commisurazione è stata fatta sulla base del criterio medio - ordinario (ovvero in base alla quantità e qualità medie ordinarie di rifiuti prodotti per unità di superficie in relazione agli usi e alla tipologia di attività svolte) e non sull’effettiva quantità di rifiuti prodotti</w:t>
      </w:r>
      <w:r>
        <w:rPr>
          <w:rFonts w:ascii="Arial" w:eastAsia="Arial" w:hAnsi="Arial" w:cs="Arial"/>
          <w:color w:val="000000"/>
          <w:szCs w:val="22"/>
        </w:rPr>
        <w:t>;</w:t>
      </w:r>
    </w:p>
    <w:p w14:paraId="257A3E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disciplina dell’applicazione del tributo è stata approvata con regolamento dal Consiglio comunale;</w:t>
      </w:r>
    </w:p>
    <w:p w14:paraId="2E3CAA68" w14:textId="77777777" w:rsidR="00F50D72" w:rsidRDefault="00F50D72" w:rsidP="00F50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il pagamento della TARI </w:t>
      </w:r>
      <w:r w:rsidRPr="00072525">
        <w:rPr>
          <w:rFonts w:ascii="Arial" w:eastAsia="Arial" w:hAnsi="Arial" w:cs="Arial"/>
          <w:b/>
          <w:iCs/>
          <w:color w:val="000000"/>
          <w:szCs w:val="22"/>
        </w:rPr>
        <w:t>avviene/non avviene</w:t>
      </w:r>
      <w:r>
        <w:rPr>
          <w:rFonts w:ascii="Arial" w:eastAsia="Arial" w:hAnsi="Arial" w:cs="Arial"/>
          <w:color w:val="000000"/>
          <w:szCs w:val="22"/>
        </w:rPr>
        <w:t xml:space="preserve"> tramite il sistema pagoPA;</w:t>
      </w:r>
    </w:p>
    <w:p w14:paraId="5DB771A4" w14:textId="7BD97E9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quota di gettito atteso che rimarrà a carico dell’</w:t>
      </w:r>
      <w:r w:rsidR="00E46B23">
        <w:rPr>
          <w:rFonts w:ascii="Arial" w:eastAsia="Arial" w:hAnsi="Arial" w:cs="Arial"/>
          <w:color w:val="000000"/>
          <w:szCs w:val="22"/>
        </w:rPr>
        <w:t>E</w:t>
      </w:r>
      <w:r>
        <w:rPr>
          <w:rFonts w:ascii="Arial" w:eastAsia="Arial" w:hAnsi="Arial" w:cs="Arial"/>
          <w:color w:val="000000"/>
          <w:szCs w:val="22"/>
        </w:rPr>
        <w:t>nte per effetto delle riduzioni/esenzioni del tributo ammonta ad euro ………..</w:t>
      </w:r>
    </w:p>
    <w:p w14:paraId="6D18A65E" w14:textId="3749C16A"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un</w:t>
      </w:r>
      <w:r>
        <w:rPr>
          <w:rFonts w:ascii="Arial" w:eastAsia="Arial" w:hAnsi="Arial" w:cs="Arial"/>
          <w:color w:val="000000"/>
          <w:szCs w:val="22"/>
        </w:rPr>
        <w:t xml:space="preserve"> tasso ordinario</w:t>
      </w:r>
      <w:r w:rsidR="00E46B23">
        <w:rPr>
          <w:rFonts w:ascii="Arial" w:eastAsia="Arial" w:hAnsi="Arial" w:cs="Arial"/>
          <w:color w:val="000000"/>
          <w:szCs w:val="22"/>
        </w:rPr>
        <w:t xml:space="preserve"> medio (ultimi tre esercizi)</w:t>
      </w:r>
      <w:r>
        <w:rPr>
          <w:rFonts w:ascii="Arial" w:eastAsia="Arial" w:hAnsi="Arial" w:cs="Arial"/>
          <w:color w:val="000000"/>
          <w:szCs w:val="22"/>
        </w:rPr>
        <w:t xml:space="preserve"> di riscossione ordinario della Tari pari al _____;</w:t>
      </w:r>
    </w:p>
    <w:p w14:paraId="6F813A59" w14:textId="6870AFF1"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l’ammontare riscosso</w:t>
      </w:r>
      <w:r w:rsidR="00E46B23">
        <w:rPr>
          <w:rFonts w:ascii="Arial" w:eastAsia="Arial" w:hAnsi="Arial" w:cs="Arial"/>
          <w:color w:val="000000"/>
          <w:szCs w:val="22"/>
        </w:rPr>
        <w:t xml:space="preserve"> </w:t>
      </w:r>
      <w:r w:rsidR="00E46B23" w:rsidRPr="0020586E">
        <w:rPr>
          <w:rFonts w:ascii="Arial" w:eastAsia="Arial" w:hAnsi="Arial" w:cs="Arial"/>
          <w:color w:val="000000"/>
          <w:szCs w:val="22"/>
        </w:rPr>
        <w:t>nell’esercizio 202</w:t>
      </w:r>
      <w:r w:rsidR="00030F3E" w:rsidRPr="0020586E">
        <w:rPr>
          <w:rFonts w:ascii="Arial" w:eastAsia="Arial" w:hAnsi="Arial" w:cs="Arial"/>
          <w:color w:val="000000"/>
          <w:szCs w:val="22"/>
        </w:rPr>
        <w:t>4</w:t>
      </w:r>
      <w:r w:rsidR="00E46B23" w:rsidRPr="0020586E">
        <w:rPr>
          <w:rFonts w:ascii="Arial" w:eastAsia="Arial" w:hAnsi="Arial" w:cs="Arial"/>
          <w:color w:val="000000"/>
          <w:szCs w:val="22"/>
        </w:rPr>
        <w:t xml:space="preserve"> </w:t>
      </w:r>
      <w:r w:rsidR="00D6428E" w:rsidRPr="0020586E">
        <w:rPr>
          <w:rFonts w:ascii="Arial" w:eastAsia="Arial" w:hAnsi="Arial" w:cs="Arial"/>
          <w:color w:val="000000"/>
          <w:szCs w:val="22"/>
        </w:rPr>
        <w:t>dall’Ente</w:t>
      </w:r>
      <w:r>
        <w:rPr>
          <w:rFonts w:ascii="Arial" w:eastAsia="Arial" w:hAnsi="Arial" w:cs="Arial"/>
          <w:color w:val="000000"/>
          <w:szCs w:val="22"/>
        </w:rPr>
        <w:t xml:space="preserve"> a seguito di sollecito bonari è pari a</w:t>
      </w:r>
      <w:r w:rsidR="00E46B23">
        <w:rPr>
          <w:rFonts w:ascii="Arial" w:eastAsia="Arial" w:hAnsi="Arial" w:cs="Arial"/>
          <w:color w:val="000000"/>
          <w:szCs w:val="22"/>
        </w:rPr>
        <w:t>l</w:t>
      </w:r>
      <w:r>
        <w:rPr>
          <w:rFonts w:ascii="Arial" w:eastAsia="Arial" w:hAnsi="Arial" w:cs="Arial"/>
          <w:color w:val="000000"/>
          <w:szCs w:val="22"/>
        </w:rPr>
        <w:t xml:space="preserve"> </w:t>
      </w:r>
      <w:r w:rsidR="003D5192">
        <w:rPr>
          <w:rFonts w:ascii="Arial" w:eastAsia="Arial" w:hAnsi="Arial" w:cs="Arial"/>
          <w:color w:val="000000"/>
          <w:szCs w:val="22"/>
        </w:rPr>
        <w:t>________ e il tasso di copertura raggiunto è pari a _________;</w:t>
      </w:r>
    </w:p>
    <w:p w14:paraId="575A3097" w14:textId="3834E0A1"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 </w:t>
      </w:r>
      <w:r w:rsidR="00D6428E">
        <w:rPr>
          <w:rFonts w:ascii="Arial" w:eastAsia="Arial" w:hAnsi="Arial" w:cs="Arial"/>
          <w:color w:val="000000"/>
          <w:szCs w:val="22"/>
        </w:rPr>
        <w:t>l’Ente ha accantonato una</w:t>
      </w:r>
      <w:r>
        <w:rPr>
          <w:rFonts w:ascii="Arial" w:eastAsia="Arial" w:hAnsi="Arial" w:cs="Arial"/>
          <w:color w:val="000000"/>
          <w:szCs w:val="22"/>
        </w:rPr>
        <w:t xml:space="preserve"> quota di accantonamento all’FCDE inserita nel PEF pari a ______;</w:t>
      </w:r>
      <w:r w:rsidR="00D6428E">
        <w:rPr>
          <w:rFonts w:ascii="Arial" w:eastAsia="Arial" w:hAnsi="Arial" w:cs="Arial"/>
          <w:color w:val="000000"/>
          <w:szCs w:val="22"/>
        </w:rPr>
        <w:t xml:space="preserve"> (</w:t>
      </w:r>
      <w:r w:rsidR="00D6428E" w:rsidRPr="00E46B23">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68399101" w14:textId="199BFFE8"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inserito una</w:t>
      </w:r>
      <w:r>
        <w:rPr>
          <w:rFonts w:ascii="Arial" w:eastAsia="Arial" w:hAnsi="Arial" w:cs="Arial"/>
          <w:color w:val="000000"/>
          <w:szCs w:val="22"/>
        </w:rPr>
        <w:t xml:space="preserve"> quota di</w:t>
      </w:r>
      <w:r w:rsidR="00E46B23">
        <w:rPr>
          <w:rFonts w:ascii="Arial" w:eastAsia="Arial" w:hAnsi="Arial" w:cs="Arial"/>
          <w:color w:val="000000"/>
          <w:szCs w:val="22"/>
        </w:rPr>
        <w:t xml:space="preserve"> crediti</w:t>
      </w:r>
      <w:r>
        <w:rPr>
          <w:rFonts w:ascii="Arial" w:eastAsia="Arial" w:hAnsi="Arial" w:cs="Arial"/>
          <w:color w:val="000000"/>
          <w:szCs w:val="22"/>
        </w:rPr>
        <w:t xml:space="preserve"> inesigibili nel PEF pari a _______;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CF57E9F" w14:textId="19CE594F"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utilizzato una</w:t>
      </w:r>
      <w:r>
        <w:rPr>
          <w:rFonts w:ascii="Arial" w:eastAsia="Arial" w:hAnsi="Arial" w:cs="Arial"/>
          <w:color w:val="000000"/>
          <w:szCs w:val="22"/>
        </w:rPr>
        <w:t xml:space="preserve"> quota di imposta di soggiorno</w:t>
      </w:r>
      <w:r w:rsidR="00E46B23">
        <w:rPr>
          <w:rFonts w:ascii="Arial" w:eastAsia="Arial" w:hAnsi="Arial" w:cs="Arial"/>
          <w:color w:val="000000"/>
          <w:szCs w:val="22"/>
        </w:rPr>
        <w:t xml:space="preserve"> (</w:t>
      </w:r>
      <w:r w:rsidR="00E46B23" w:rsidRPr="00E46B23">
        <w:rPr>
          <w:rFonts w:ascii="Arial" w:eastAsia="Arial" w:hAnsi="Arial" w:cs="Arial"/>
          <w:i/>
          <w:iCs/>
          <w:color w:val="00B0F0"/>
          <w:szCs w:val="22"/>
        </w:rPr>
        <w:t>se prevista l’imposta</w:t>
      </w:r>
      <w:r w:rsidR="00E46B23">
        <w:rPr>
          <w:rFonts w:ascii="Arial" w:eastAsia="Arial" w:hAnsi="Arial" w:cs="Arial"/>
          <w:color w:val="000000"/>
          <w:szCs w:val="22"/>
        </w:rPr>
        <w:t>)</w:t>
      </w:r>
      <w:r>
        <w:rPr>
          <w:rFonts w:ascii="Arial" w:eastAsia="Arial" w:hAnsi="Arial" w:cs="Arial"/>
          <w:color w:val="000000"/>
          <w:szCs w:val="22"/>
        </w:rPr>
        <w:t xml:space="preserve"> </w:t>
      </w:r>
      <w:r w:rsidR="00D6428E">
        <w:rPr>
          <w:rFonts w:ascii="Arial" w:eastAsia="Arial" w:hAnsi="Arial" w:cs="Arial"/>
          <w:color w:val="000000"/>
          <w:szCs w:val="22"/>
        </w:rPr>
        <w:t>p</w:t>
      </w:r>
      <w:r>
        <w:rPr>
          <w:rFonts w:ascii="Arial" w:eastAsia="Arial" w:hAnsi="Arial" w:cs="Arial"/>
          <w:color w:val="000000"/>
          <w:szCs w:val="22"/>
        </w:rPr>
        <w:t>er la copertura della TARI pari a _____</w:t>
      </w:r>
      <w:r w:rsidR="00160626">
        <w:rPr>
          <w:rFonts w:ascii="Arial" w:eastAsia="Arial" w:hAnsi="Arial" w:cs="Arial"/>
          <w:color w:val="000000"/>
          <w:szCs w:val="22"/>
        </w:rPr>
        <w:t>_. (</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65D9449" w14:textId="77777777"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p>
    <w:p w14:paraId="53B2FFE4" w14:textId="711BAC40" w:rsidR="000F434D" w:rsidRPr="00FB090C" w:rsidRDefault="00B37E3E" w:rsidP="00B37E3E">
      <w:pPr>
        <w:pBdr>
          <w:top w:val="nil"/>
          <w:left w:val="nil"/>
          <w:bottom w:val="nil"/>
          <w:right w:val="nil"/>
          <w:between w:val="nil"/>
        </w:pBdr>
        <w:spacing w:line="240" w:lineRule="auto"/>
        <w:rPr>
          <w:rFonts w:ascii="Arial" w:eastAsia="Arial" w:hAnsi="Arial" w:cs="Arial"/>
          <w:bCs/>
          <w:color w:val="000000"/>
          <w:u w:val="single"/>
        </w:rPr>
      </w:pPr>
      <w:r w:rsidRPr="00FB090C">
        <w:rPr>
          <w:rFonts w:ascii="Arial" w:eastAsia="Arial" w:hAnsi="Arial" w:cs="Arial"/>
          <w:bCs/>
          <w:color w:val="000000"/>
          <w:u w:val="single"/>
        </w:rPr>
        <w:t>A</w:t>
      </w:r>
      <w:r w:rsidR="000F434D" w:rsidRPr="00FB090C">
        <w:rPr>
          <w:rFonts w:ascii="Arial" w:eastAsia="Arial" w:hAnsi="Arial" w:cs="Arial"/>
          <w:bCs/>
          <w:color w:val="000000"/>
          <w:u w:val="single"/>
        </w:rPr>
        <w:t>ltri Tributi Comunali</w:t>
      </w:r>
    </w:p>
    <w:p w14:paraId="1820F472" w14:textId="07FC23A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Oltre all’addizionale comunale all’IRPEF, all’IMU e alla TARI, </w:t>
      </w:r>
      <w:r w:rsidR="009F0E85">
        <w:rPr>
          <w:rFonts w:ascii="Arial" w:eastAsia="Arial" w:hAnsi="Arial" w:cs="Arial"/>
          <w:color w:val="000000"/>
          <w:szCs w:val="22"/>
        </w:rPr>
        <w:t xml:space="preserve">l’Ente </w:t>
      </w:r>
      <w:r>
        <w:rPr>
          <w:rFonts w:ascii="Arial" w:eastAsia="Arial" w:hAnsi="Arial" w:cs="Arial"/>
          <w:color w:val="000000"/>
          <w:szCs w:val="22"/>
        </w:rPr>
        <w:t xml:space="preserve">ha istituito i seguenti tributi </w:t>
      </w:r>
      <w:r>
        <w:rPr>
          <w:rFonts w:ascii="Arial" w:eastAsia="Arial" w:hAnsi="Arial" w:cs="Arial"/>
          <w:i/>
          <w:color w:val="000000"/>
          <w:szCs w:val="22"/>
        </w:rPr>
        <w:t>(</w:t>
      </w:r>
      <w:r w:rsidRPr="006B126D">
        <w:rPr>
          <w:rFonts w:ascii="Arial" w:eastAsia="Arial" w:hAnsi="Arial" w:cs="Arial"/>
          <w:b/>
          <w:bCs/>
          <w:i/>
          <w:color w:val="00B0F0"/>
          <w:szCs w:val="22"/>
        </w:rPr>
        <w:t xml:space="preserve">N.B. </w:t>
      </w:r>
      <w:r w:rsidRPr="006B126D">
        <w:rPr>
          <w:rFonts w:ascii="Arial" w:eastAsia="Arial" w:hAnsi="Arial" w:cs="Arial"/>
          <w:i/>
          <w:color w:val="00B0F0"/>
          <w:szCs w:val="22"/>
        </w:rPr>
        <w:t>modificare la tabella inserendo solo quelli istituiti dall’</w:t>
      </w:r>
      <w:r w:rsidR="00D86288">
        <w:rPr>
          <w:rFonts w:ascii="Arial" w:eastAsia="Arial" w:hAnsi="Arial" w:cs="Arial"/>
          <w:i/>
          <w:color w:val="00B0F0"/>
          <w:szCs w:val="22"/>
        </w:rPr>
        <w:t>E</w:t>
      </w:r>
      <w:r w:rsidRPr="006B126D">
        <w:rPr>
          <w:rFonts w:ascii="Arial" w:eastAsia="Arial" w:hAnsi="Arial" w:cs="Arial"/>
          <w:i/>
          <w:color w:val="00B0F0"/>
          <w:szCs w:val="22"/>
        </w:rPr>
        <w:t>nte</w:t>
      </w:r>
      <w:r>
        <w:rPr>
          <w:rFonts w:ascii="Arial" w:eastAsia="Arial" w:hAnsi="Arial" w:cs="Arial"/>
          <w:i/>
          <w:color w:val="000000"/>
          <w:szCs w:val="22"/>
        </w:rPr>
        <w:t>)</w:t>
      </w:r>
      <w:r>
        <w:rPr>
          <w:rFonts w:ascii="Arial" w:eastAsia="Arial" w:hAnsi="Arial" w:cs="Arial"/>
          <w:color w:val="000000"/>
          <w:szCs w:val="22"/>
        </w:rPr>
        <w:t>:</w:t>
      </w:r>
    </w:p>
    <w:p w14:paraId="68746D78" w14:textId="5E8FEE37"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bookmarkStart w:id="48" w:name="_heading=h.4f1mdlm" w:colFirst="0" w:colLast="0"/>
      <w:bookmarkEnd w:id="48"/>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d</w:t>
      </w:r>
    </w:p>
    <w:p w14:paraId="5B799B0C" w14:textId="77777777" w:rsidR="00FB090C" w:rsidRDefault="00FB090C" w:rsidP="000F434D">
      <w:pPr>
        <w:pBdr>
          <w:top w:val="nil"/>
          <w:left w:val="nil"/>
          <w:bottom w:val="nil"/>
          <w:right w:val="nil"/>
          <w:between w:val="nil"/>
        </w:pBdr>
        <w:spacing w:line="240" w:lineRule="auto"/>
        <w:ind w:hanging="2"/>
        <w:rPr>
          <w:rFonts w:ascii="Arial" w:eastAsia="Arial" w:hAnsi="Arial" w:cs="Arial"/>
          <w:i/>
          <w:color w:val="000000"/>
          <w:szCs w:val="22"/>
        </w:rPr>
      </w:pPr>
    </w:p>
    <w:p w14:paraId="1C917385" w14:textId="74ED50F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D8330C">
        <w:rPr>
          <w:rFonts w:ascii="Arial" w:eastAsia="Arial" w:hAnsi="Arial" w:cs="Arial"/>
          <w:i/>
          <w:color w:val="000000"/>
          <w:szCs w:val="22"/>
        </w:rPr>
        <w:t>(</w:t>
      </w:r>
      <w:r w:rsidR="00FB090C" w:rsidRPr="00D8330C">
        <w:rPr>
          <w:rFonts w:ascii="Arial" w:eastAsia="Arial" w:hAnsi="Arial" w:cs="Arial"/>
          <w:i/>
          <w:color w:val="000000"/>
          <w:szCs w:val="22"/>
        </w:rPr>
        <w:t xml:space="preserve">eventuale - </w:t>
      </w:r>
      <w:r w:rsidRPr="00D8330C">
        <w:rPr>
          <w:rFonts w:ascii="Arial" w:eastAsia="Arial" w:hAnsi="Arial" w:cs="Arial"/>
          <w:i/>
          <w:color w:val="000000"/>
          <w:szCs w:val="22"/>
        </w:rPr>
        <w:t xml:space="preserve">solo se </w:t>
      </w:r>
      <w:r w:rsidR="006F27B9" w:rsidRPr="00D8330C">
        <w:rPr>
          <w:rFonts w:ascii="Arial" w:eastAsia="Arial" w:hAnsi="Arial" w:cs="Arial"/>
          <w:i/>
          <w:color w:val="000000"/>
          <w:szCs w:val="22"/>
        </w:rPr>
        <w:t xml:space="preserve">per </w:t>
      </w:r>
      <w:r w:rsidRPr="00D8330C">
        <w:rPr>
          <w:rFonts w:ascii="Arial" w:eastAsia="Arial" w:hAnsi="Arial" w:cs="Arial"/>
          <w:i/>
          <w:color w:val="000000"/>
          <w:szCs w:val="22"/>
        </w:rPr>
        <w:t>l’imposta di soggiorno</w:t>
      </w:r>
      <w:r w:rsidR="006F27B9" w:rsidRPr="00D8330C">
        <w:rPr>
          <w:rFonts w:ascii="Arial" w:eastAsia="Arial" w:hAnsi="Arial" w:cs="Arial"/>
          <w:i/>
          <w:color w:val="000000"/>
          <w:szCs w:val="22"/>
        </w:rPr>
        <w:t xml:space="preserve"> e/o sbarco</w:t>
      </w:r>
      <w:r w:rsidRPr="00D8330C">
        <w:rPr>
          <w:rFonts w:ascii="Arial" w:eastAsia="Arial" w:hAnsi="Arial" w:cs="Arial"/>
          <w:i/>
          <w:color w:val="000000"/>
          <w:szCs w:val="22"/>
        </w:rPr>
        <w:t>)</w:t>
      </w:r>
    </w:p>
    <w:p w14:paraId="6C11596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avendo istituito l’imposta di soggiorno a carico di coloro che alloggiano nelle strutture ricettive situate sul proprio territorio, ha previsto che il relativo gettito sia destinato a finanziare interventi in materia di turismo, ivi compresi quelli a sostegno delle strutture ricettive, nonché interventi di manutenzione, fruizione e recupero dei beni culturali ed ambientali locali, nonché dei relativi servizi pubblici locali (rif. art. 4 D.lgs. n.23/2011).</w:t>
      </w:r>
      <w:r>
        <w:rPr>
          <w:rFonts w:ascii="Arial" w:eastAsia="Arial" w:hAnsi="Arial" w:cs="Arial"/>
          <w:color w:val="000000"/>
          <w:szCs w:val="22"/>
        </w:rPr>
        <w:tab/>
      </w:r>
    </w:p>
    <w:p w14:paraId="25450293" w14:textId="2DD281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il riversamento dell’imposta di soggiorno da parte dei soggetti gestori che, ai sensi dell’art.4 comma 1 ter del D.lgs. n.23/2011 sono i responsabili del pagamento dell’imposta, </w:t>
      </w:r>
      <w:r w:rsidRPr="006B126D">
        <w:rPr>
          <w:rFonts w:ascii="Arial" w:eastAsia="Arial" w:hAnsi="Arial" w:cs="Arial"/>
          <w:b/>
          <w:iCs/>
          <w:color w:val="000000"/>
          <w:szCs w:val="22"/>
        </w:rPr>
        <w:t>avviene/non avviene</w:t>
      </w:r>
      <w:r>
        <w:rPr>
          <w:rFonts w:ascii="Arial" w:eastAsia="Arial" w:hAnsi="Arial" w:cs="Arial"/>
          <w:color w:val="000000"/>
          <w:szCs w:val="22"/>
        </w:rPr>
        <w:t xml:space="preserve"> </w:t>
      </w:r>
      <w:r w:rsidR="00A87C28">
        <w:rPr>
          <w:rFonts w:ascii="Arial" w:eastAsia="Arial" w:hAnsi="Arial" w:cs="Arial"/>
          <w:color w:val="000000"/>
          <w:szCs w:val="22"/>
        </w:rPr>
        <w:t xml:space="preserve">anche </w:t>
      </w:r>
      <w:r>
        <w:rPr>
          <w:rFonts w:ascii="Arial" w:eastAsia="Arial" w:hAnsi="Arial" w:cs="Arial"/>
          <w:color w:val="000000"/>
          <w:szCs w:val="22"/>
        </w:rPr>
        <w:t>tramite il sistema pago PA.</w:t>
      </w:r>
    </w:p>
    <w:p w14:paraId="7E3C86E2" w14:textId="77777777" w:rsidR="0020586E" w:rsidRPr="004B4CFE" w:rsidRDefault="0020586E" w:rsidP="0020586E">
      <w:pPr>
        <w:spacing w:line="240" w:lineRule="auto"/>
        <w:ind w:hanging="2"/>
        <w:rPr>
          <w:rFonts w:ascii="Arial" w:eastAsia="Arial" w:hAnsi="Arial" w:cs="Arial"/>
          <w:color w:val="auto"/>
          <w:szCs w:val="22"/>
        </w:rPr>
      </w:pPr>
    </w:p>
    <w:p w14:paraId="7F4FC9EA" w14:textId="625245E9" w:rsidR="00626F3F" w:rsidRDefault="00626F3F" w:rsidP="00776DB2">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L</w:t>
      </w:r>
      <w:r w:rsidR="0020586E" w:rsidRPr="00C667C0">
        <w:rPr>
          <w:rFonts w:ascii="Arial" w:eastAsia="Arial" w:hAnsi="Arial" w:cs="Arial"/>
          <w:i/>
          <w:iCs/>
          <w:color w:val="auto"/>
          <w:szCs w:val="22"/>
        </w:rPr>
        <w:t>’art.1</w:t>
      </w:r>
      <w:r>
        <w:rPr>
          <w:rFonts w:ascii="Arial" w:eastAsia="Arial" w:hAnsi="Arial" w:cs="Arial"/>
          <w:i/>
          <w:iCs/>
          <w:color w:val="auto"/>
          <w:szCs w:val="22"/>
        </w:rPr>
        <w:t xml:space="preserve"> comma 683 della Legge di bilancio 2026 </w:t>
      </w:r>
      <w:r w:rsidR="00776DB2">
        <w:rPr>
          <w:rFonts w:ascii="Arial" w:eastAsia="Arial" w:hAnsi="Arial" w:cs="Arial"/>
          <w:i/>
          <w:iCs/>
          <w:color w:val="auto"/>
          <w:szCs w:val="22"/>
        </w:rPr>
        <w:t>dispone che n</w:t>
      </w:r>
      <w:r w:rsidR="00776DB2" w:rsidRPr="00776DB2">
        <w:rPr>
          <w:rFonts w:ascii="Arial" w:eastAsia="Arial" w:hAnsi="Arial" w:cs="Arial"/>
          <w:i/>
          <w:iCs/>
          <w:color w:val="auto"/>
          <w:szCs w:val="22"/>
        </w:rPr>
        <w:t>elle more della revisione della fiscalità collegata al soggiorno temporaneo in strutture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ricettive, le misure incrementali di cui all’articolo 1, comma 492, della legge 30 dicembre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2023, n. 213, possono essere applicate anche nell’anno 2026. Il maggior gettito derivante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dall’incremento dell’imposta di soggiorno incassato nell’anno 2026:</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a) per il 70 per cento è destinato agli impieghi previsti dall’articolo 4, comma 1, ultimo</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periodo, del decreto legislativo 14 marzo 2011, n. 23;</w:t>
      </w:r>
      <w:r w:rsidR="00776DB2">
        <w:rPr>
          <w:rFonts w:ascii="Arial" w:eastAsia="Arial" w:hAnsi="Arial" w:cs="Arial"/>
          <w:i/>
          <w:iCs/>
          <w:color w:val="auto"/>
          <w:szCs w:val="22"/>
        </w:rPr>
        <w:t xml:space="preserve"> </w:t>
      </w:r>
    </w:p>
    <w:p w14:paraId="68AC1BD7" w14:textId="76323608" w:rsidR="00776DB2" w:rsidRPr="00776DB2" w:rsidRDefault="00776DB2" w:rsidP="00776DB2">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776DB2">
        <w:rPr>
          <w:rFonts w:ascii="Arial" w:eastAsia="Arial" w:hAnsi="Arial" w:cs="Arial"/>
          <w:i/>
          <w:iCs/>
          <w:color w:val="auto"/>
          <w:szCs w:val="22"/>
        </w:rPr>
        <w:t>b) per il 30 per cento è destinato al Fondo unico per l’inclusione delle persone con disabilità</w:t>
      </w:r>
      <w:r>
        <w:rPr>
          <w:rFonts w:ascii="Arial" w:eastAsia="Arial" w:hAnsi="Arial" w:cs="Arial"/>
          <w:i/>
          <w:iCs/>
          <w:color w:val="auto"/>
          <w:szCs w:val="22"/>
        </w:rPr>
        <w:t xml:space="preserve"> </w:t>
      </w:r>
      <w:r w:rsidRPr="00776DB2">
        <w:rPr>
          <w:rFonts w:ascii="Arial" w:eastAsia="Arial" w:hAnsi="Arial" w:cs="Arial"/>
          <w:i/>
          <w:iCs/>
          <w:color w:val="auto"/>
          <w:szCs w:val="22"/>
        </w:rPr>
        <w:t>di cui all’articolo 1, comma 210, della legge 30 dicembre 2023, n. 213, per la finalità di cui</w:t>
      </w:r>
      <w:r>
        <w:rPr>
          <w:rFonts w:ascii="Arial" w:eastAsia="Arial" w:hAnsi="Arial" w:cs="Arial"/>
          <w:i/>
          <w:iCs/>
          <w:color w:val="auto"/>
          <w:szCs w:val="22"/>
        </w:rPr>
        <w:t xml:space="preserve"> </w:t>
      </w:r>
      <w:r w:rsidRPr="00776DB2">
        <w:rPr>
          <w:rFonts w:ascii="Arial" w:eastAsia="Arial" w:hAnsi="Arial" w:cs="Arial"/>
          <w:i/>
          <w:iCs/>
          <w:color w:val="auto"/>
          <w:szCs w:val="22"/>
        </w:rPr>
        <w:t>all’articolo 1, comma 213, lettera a), della medesima legge, relativa ai servizi di assistenza</w:t>
      </w:r>
      <w:r>
        <w:rPr>
          <w:rFonts w:ascii="Arial" w:eastAsia="Arial" w:hAnsi="Arial" w:cs="Arial"/>
          <w:i/>
          <w:iCs/>
          <w:color w:val="auto"/>
          <w:szCs w:val="22"/>
        </w:rPr>
        <w:t xml:space="preserve"> </w:t>
      </w:r>
      <w:r w:rsidRPr="00776DB2">
        <w:rPr>
          <w:rFonts w:ascii="Arial" w:eastAsia="Arial" w:hAnsi="Arial" w:cs="Arial"/>
          <w:i/>
          <w:iCs/>
          <w:color w:val="auto"/>
          <w:szCs w:val="22"/>
        </w:rPr>
        <w:t>all'autonomia e alla comunicazione per gli alunni con disabilità, e al fondo per l’assistenza</w:t>
      </w:r>
      <w:r>
        <w:rPr>
          <w:rFonts w:ascii="Arial" w:eastAsia="Arial" w:hAnsi="Arial" w:cs="Arial"/>
          <w:i/>
          <w:iCs/>
          <w:color w:val="auto"/>
          <w:szCs w:val="22"/>
        </w:rPr>
        <w:t xml:space="preserve"> </w:t>
      </w:r>
      <w:r w:rsidRPr="00776DB2">
        <w:rPr>
          <w:rFonts w:ascii="Arial" w:eastAsia="Arial" w:hAnsi="Arial" w:cs="Arial"/>
          <w:i/>
          <w:iCs/>
          <w:color w:val="auto"/>
          <w:szCs w:val="22"/>
        </w:rPr>
        <w:t>ai minori di cui all’articolo 1, comma 759, della legge 30 dicembre 2024, n. 207.</w:t>
      </w:r>
    </w:p>
    <w:p w14:paraId="730F9A9D" w14:textId="21FA8551" w:rsidR="0020586E" w:rsidRPr="00B20671" w:rsidRDefault="00626F3F" w:rsidP="00B2067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Pr>
          <w:rFonts w:ascii="Arial" w:eastAsia="Arial" w:hAnsi="Arial" w:cs="Arial"/>
          <w:i/>
          <w:iCs/>
          <w:color w:val="auto"/>
          <w:szCs w:val="22"/>
        </w:rPr>
        <w:t>L’art.1 comma 684 della Legge di bilancio 2026 dispone che c</w:t>
      </w:r>
      <w:r w:rsidR="00776DB2" w:rsidRPr="00776DB2">
        <w:rPr>
          <w:rFonts w:ascii="Arial" w:eastAsia="Arial" w:hAnsi="Arial" w:cs="Arial"/>
          <w:i/>
          <w:iCs/>
          <w:color w:val="auto"/>
          <w:szCs w:val="22"/>
        </w:rPr>
        <w:t>on decreto del Ministro dell’economia e delle finanze, di concerto con il Ministro</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dell’interno, d’intesa con la Conferenza Stato-città e autonomie locali, da emanare entro il</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30 aprile 2026, sono definite le modalità di individuazione del maggior gettito di cui al</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 xml:space="preserve">comma </w:t>
      </w:r>
      <w:r w:rsidR="00CE60CD">
        <w:rPr>
          <w:rFonts w:ascii="Arial" w:eastAsia="Arial" w:hAnsi="Arial" w:cs="Arial"/>
          <w:i/>
          <w:iCs/>
          <w:color w:val="auto"/>
          <w:szCs w:val="22"/>
        </w:rPr>
        <w:t>683</w:t>
      </w:r>
      <w:r w:rsidR="00776DB2" w:rsidRPr="00776DB2">
        <w:rPr>
          <w:rFonts w:ascii="Arial" w:eastAsia="Arial" w:hAnsi="Arial" w:cs="Arial"/>
          <w:i/>
          <w:iCs/>
          <w:color w:val="auto"/>
          <w:szCs w:val="22"/>
        </w:rPr>
        <w:t>, di compensazione, nell’ambito del bilancio dello Stato attraverso riduzioni dei</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trasferimenti ai comuni interessati, della quota del medesimo gettito di cui al comma 1,</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lettera b), nonché le modalità di riparto e di destinazione ai fondi di cui alla stessa lettera</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b).</w:t>
      </w:r>
    </w:p>
    <w:p w14:paraId="54B70EE3" w14:textId="3D6E6D80"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7</w:t>
      </w:r>
      <w:r w:rsidR="00FB090C">
        <w:rPr>
          <w:rFonts w:ascii="Calibri" w:eastAsiaTheme="majorEastAsia" w:hAnsi="Calibri" w:cs="Times New Roman (Titoli CS)"/>
          <w:b/>
          <w:color w:val="C00000"/>
          <w:sz w:val="28"/>
          <w:szCs w:val="40"/>
        </w:rPr>
        <w:t>.1.2</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Risorse relative al recupero dell’evasione tributaria</w:t>
      </w:r>
    </w:p>
    <w:p w14:paraId="0ECC3BDA" w14:textId="6A22111D"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entrate relative all’attività di controllo subiscono le seguenti variazioni:</w:t>
      </w:r>
    </w:p>
    <w:p w14:paraId="4C20CC79" w14:textId="77777777" w:rsidR="000F434D" w:rsidRDefault="000F434D" w:rsidP="000F434D">
      <w:pPr>
        <w:pBdr>
          <w:top w:val="nil"/>
          <w:left w:val="nil"/>
          <w:bottom w:val="nil"/>
          <w:right w:val="nil"/>
          <w:between w:val="nil"/>
        </w:pBdr>
        <w:spacing w:line="240" w:lineRule="auto"/>
        <w:ind w:hanging="2"/>
        <w:rPr>
          <w:rFonts w:ascii="Arial" w:eastAsia="Arial" w:hAnsi="Arial" w:cs="Arial"/>
          <w:i/>
          <w:color w:val="000000"/>
          <w:sz w:val="20"/>
          <w:szCs w:val="20"/>
        </w:rPr>
      </w:pPr>
      <w:bookmarkStart w:id="49" w:name="_heading=h.3tbugp1" w:colFirst="0" w:colLast="0"/>
      <w:bookmarkEnd w:id="49"/>
    </w:p>
    <w:p w14:paraId="2151133A" w14:textId="0AFC4F2A" w:rsidR="000F434D" w:rsidRPr="00B62E12" w:rsidRDefault="00FB090C" w:rsidP="000F434D">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9</w:t>
      </w:r>
    </w:p>
    <w:p w14:paraId="3E5B66A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37E9CB7" w14:textId="3569443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83377F">
        <w:rPr>
          <w:rFonts w:ascii="Arial" w:eastAsia="Arial" w:hAnsi="Arial" w:cs="Arial"/>
          <w:b/>
          <w:bCs/>
          <w:szCs w:val="22"/>
        </w:rPr>
        <w:t>ritiene</w:t>
      </w:r>
      <w:r>
        <w:rPr>
          <w:rFonts w:ascii="Arial" w:eastAsia="Arial" w:hAnsi="Arial" w:cs="Arial"/>
          <w:color w:val="000000"/>
          <w:szCs w:val="22"/>
        </w:rPr>
        <w:t xml:space="preserve"> </w:t>
      </w:r>
      <w:r w:rsidR="009F0E85">
        <w:rPr>
          <w:rFonts w:ascii="Arial" w:eastAsia="Arial" w:hAnsi="Arial" w:cs="Arial"/>
          <w:color w:val="000000"/>
          <w:szCs w:val="22"/>
        </w:rPr>
        <w:t xml:space="preserve">che </w:t>
      </w:r>
      <w:r>
        <w:rPr>
          <w:rFonts w:ascii="Arial" w:eastAsia="Arial" w:hAnsi="Arial" w:cs="Arial"/>
          <w:color w:val="000000"/>
          <w:szCs w:val="22"/>
        </w:rPr>
        <w:t xml:space="preserve">la quantificazione del fondo crediti di dubbia esigibilità </w:t>
      </w:r>
      <w:r w:rsidR="00D8330C" w:rsidRPr="00D8330C">
        <w:rPr>
          <w:rFonts w:ascii="Arial" w:eastAsia="Arial" w:hAnsi="Arial" w:cs="Arial"/>
          <w:b/>
          <w:bCs/>
          <w:color w:val="000000"/>
          <w:szCs w:val="22"/>
        </w:rPr>
        <w:t>è</w:t>
      </w:r>
      <w:r w:rsidR="009F0E85" w:rsidRPr="00D8330C">
        <w:rPr>
          <w:rFonts w:ascii="Arial" w:eastAsia="Arial" w:hAnsi="Arial" w:cs="Arial"/>
          <w:b/>
          <w:bCs/>
          <w:color w:val="000000"/>
          <w:szCs w:val="22"/>
        </w:rPr>
        <w:t xml:space="preserve">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è congrua</w:t>
      </w:r>
      <w:r>
        <w:rPr>
          <w:rFonts w:ascii="Arial" w:eastAsia="Arial" w:hAnsi="Arial" w:cs="Arial"/>
          <w:color w:val="000000"/>
          <w:szCs w:val="22"/>
        </w:rPr>
        <w:t xml:space="preserve"> in relazione all’andamento storico delle riscossioni rispetto agli accertamenti ed ai crediti dichiarati inesigibili inclusi tra le componenti di costo.</w:t>
      </w:r>
      <w:r w:rsidR="00D8330C">
        <w:rPr>
          <w:rFonts w:ascii="Arial" w:eastAsia="Arial" w:hAnsi="Arial" w:cs="Arial"/>
          <w:color w:val="000000"/>
          <w:szCs w:val="22"/>
        </w:rPr>
        <w:t xml:space="preserve"> </w:t>
      </w:r>
    </w:p>
    <w:p w14:paraId="62CAE771" w14:textId="1E7AE8C3" w:rsidR="009F0E85" w:rsidRDefault="009F0E85" w:rsidP="000F434D">
      <w:pPr>
        <w:pBdr>
          <w:top w:val="nil"/>
          <w:left w:val="nil"/>
          <w:bottom w:val="nil"/>
          <w:right w:val="nil"/>
          <w:between w:val="nil"/>
        </w:pBdr>
        <w:spacing w:line="240" w:lineRule="auto"/>
        <w:ind w:hanging="2"/>
        <w:rPr>
          <w:rFonts w:ascii="Arial" w:eastAsia="Arial" w:hAnsi="Arial" w:cs="Arial"/>
          <w:color w:val="000000"/>
          <w:u w:val="single"/>
        </w:rPr>
      </w:pPr>
      <w:r>
        <w:rPr>
          <w:rFonts w:ascii="Arial" w:eastAsia="Arial" w:hAnsi="Arial" w:cs="Arial"/>
          <w:color w:val="000000"/>
          <w:szCs w:val="22"/>
        </w:rPr>
        <w:t xml:space="preserve">L’Organo di revisione ha verificato che l’Ente </w:t>
      </w:r>
      <w:r w:rsidRPr="00D8330C">
        <w:rPr>
          <w:rFonts w:ascii="Arial" w:eastAsia="Arial" w:hAnsi="Arial" w:cs="Arial"/>
          <w:b/>
          <w:bCs/>
          <w:color w:val="000000"/>
          <w:szCs w:val="22"/>
        </w:rPr>
        <w:t xml:space="preserve">non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 /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w:t>
      </w:r>
      <w:r>
        <w:rPr>
          <w:rFonts w:ascii="Arial" w:eastAsia="Arial" w:hAnsi="Arial" w:cs="Arial"/>
          <w:color w:val="000000"/>
          <w:szCs w:val="22"/>
        </w:rPr>
        <w:t xml:space="preserve"> rispetto ai termini di prescrizione per le azioni di recupero.</w:t>
      </w:r>
    </w:p>
    <w:p w14:paraId="14A383EC" w14:textId="7305D426" w:rsidR="00AC607D" w:rsidRDefault="00F50D72" w:rsidP="00FA1DA2">
      <w:pPr>
        <w:pBdr>
          <w:top w:val="nil"/>
          <w:left w:val="nil"/>
          <w:bottom w:val="nil"/>
          <w:right w:val="nil"/>
          <w:between w:val="nil"/>
        </w:pBdr>
        <w:spacing w:line="240" w:lineRule="auto"/>
        <w:ind w:hanging="2"/>
        <w:rPr>
          <w:rFonts w:ascii="Arial" w:eastAsia="Arial" w:hAnsi="Arial" w:cs="Arial"/>
          <w:color w:val="000000"/>
          <w:szCs w:val="22"/>
        </w:rPr>
      </w:pPr>
      <w:bookmarkStart w:id="50" w:name="_heading=h.37m2jsg" w:colFirst="0" w:colLast="0"/>
      <w:bookmarkEnd w:id="50"/>
      <w:r>
        <w:rPr>
          <w:rFonts w:ascii="Arial" w:eastAsia="Arial" w:hAnsi="Arial" w:cs="Arial"/>
          <w:color w:val="000000"/>
          <w:szCs w:val="22"/>
        </w:rPr>
        <w:t>L’Organo di revisione ha riscontrato che la</w:t>
      </w:r>
      <w:r w:rsidR="00FA1DA2" w:rsidRPr="00FA1DA2">
        <w:rPr>
          <w:rFonts w:ascii="Arial" w:eastAsia="Arial" w:hAnsi="Arial" w:cs="Arial"/>
          <w:color w:val="000000"/>
          <w:szCs w:val="22"/>
        </w:rPr>
        <w:t xml:space="preserve"> percentuale di accertament</w:t>
      </w:r>
      <w:r>
        <w:rPr>
          <w:rFonts w:ascii="Arial" w:eastAsia="Arial" w:hAnsi="Arial" w:cs="Arial"/>
          <w:color w:val="000000"/>
          <w:szCs w:val="22"/>
        </w:rPr>
        <w:t>i</w:t>
      </w:r>
      <w:r w:rsidR="00FA1DA2" w:rsidRPr="00FA1DA2">
        <w:rPr>
          <w:rFonts w:ascii="Arial" w:eastAsia="Arial" w:hAnsi="Arial" w:cs="Arial"/>
          <w:color w:val="000000"/>
          <w:szCs w:val="22"/>
        </w:rPr>
        <w:t xml:space="preserve"> emessi/gettito ordinario IMU</w:t>
      </w:r>
      <w:r>
        <w:rPr>
          <w:rFonts w:ascii="Arial" w:eastAsia="Arial" w:hAnsi="Arial" w:cs="Arial"/>
          <w:color w:val="000000"/>
          <w:szCs w:val="22"/>
        </w:rPr>
        <w:t xml:space="preserve"> è pari a _______</w:t>
      </w:r>
      <w:r w:rsidR="00AC607D">
        <w:rPr>
          <w:rFonts w:ascii="Arial" w:eastAsia="Arial" w:hAnsi="Arial" w:cs="Arial"/>
          <w:color w:val="000000"/>
          <w:szCs w:val="22"/>
        </w:rPr>
        <w:t>.</w:t>
      </w:r>
    </w:p>
    <w:p w14:paraId="6DDA2322" w14:textId="66AB956D" w:rsidR="00FA1DA2" w:rsidRPr="00AC607D" w:rsidRDefault="00AC607D" w:rsidP="004235E2">
      <w:pPr>
        <w:pBdr>
          <w:top w:val="nil"/>
          <w:left w:val="nil"/>
          <w:bottom w:val="nil"/>
          <w:right w:val="nil"/>
          <w:between w:val="nil"/>
        </w:pBdr>
        <w:spacing w:line="240" w:lineRule="auto"/>
        <w:ind w:hanging="2"/>
        <w:rPr>
          <w:rFonts w:ascii="Arial" w:eastAsia="Arial" w:hAnsi="Arial" w:cs="Arial"/>
          <w:i/>
          <w:iCs/>
          <w:color w:val="00B0F0"/>
          <w:szCs w:val="22"/>
        </w:rPr>
      </w:pPr>
      <w:r w:rsidRPr="00AC607D">
        <w:rPr>
          <w:rFonts w:ascii="Arial" w:eastAsia="Arial" w:hAnsi="Arial" w:cs="Arial"/>
          <w:b/>
          <w:bCs/>
          <w:color w:val="00B0F0"/>
          <w:szCs w:val="22"/>
        </w:rPr>
        <w:t>N.B.</w:t>
      </w:r>
      <w:r>
        <w:rPr>
          <w:rFonts w:ascii="Arial" w:eastAsia="Arial" w:hAnsi="Arial" w:cs="Arial"/>
          <w:color w:val="000000"/>
          <w:szCs w:val="22"/>
        </w:rPr>
        <w:t xml:space="preserve"> </w:t>
      </w:r>
      <w:r w:rsidR="00F50D72" w:rsidRPr="00D86288">
        <w:rPr>
          <w:rFonts w:ascii="Arial" w:eastAsia="Arial" w:hAnsi="Arial" w:cs="Arial"/>
          <w:i/>
          <w:iCs/>
          <w:color w:val="00B0F0"/>
          <w:szCs w:val="22"/>
        </w:rPr>
        <w:t>fornire spiegazioni in merito all’efficacia dell’attività di recupero confrontando questa percentuale con il tax gap stimato dal MEF per la regione di appartenenza</w:t>
      </w:r>
      <w:r w:rsidR="004235E2">
        <w:rPr>
          <w:rFonts w:ascii="Arial" w:eastAsia="Arial" w:hAnsi="Arial" w:cs="Arial"/>
          <w:i/>
          <w:iCs/>
          <w:color w:val="00B0F0"/>
          <w:szCs w:val="22"/>
        </w:rPr>
        <w:t>)</w:t>
      </w:r>
    </w:p>
    <w:p w14:paraId="06018BA2" w14:textId="77777777" w:rsidR="00D90B21" w:rsidRPr="004B4CFE" w:rsidRDefault="00D90B21" w:rsidP="00D90B21">
      <w:pPr>
        <w:spacing w:line="240" w:lineRule="auto"/>
        <w:ind w:hanging="2"/>
        <w:rPr>
          <w:rFonts w:ascii="Arial" w:eastAsia="Arial" w:hAnsi="Arial" w:cs="Arial"/>
          <w:color w:val="auto"/>
          <w:szCs w:val="22"/>
        </w:rPr>
      </w:pPr>
    </w:p>
    <w:p w14:paraId="01FB39E7" w14:textId="42272F05" w:rsidR="00D90B21" w:rsidRDefault="009A5514" w:rsidP="00D90B2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I commi 102-110 dell</w:t>
      </w:r>
      <w:r w:rsidR="00D90B21" w:rsidRPr="00C667C0">
        <w:rPr>
          <w:rFonts w:ascii="Arial" w:eastAsia="Arial" w:hAnsi="Arial" w:cs="Arial"/>
          <w:i/>
          <w:iCs/>
          <w:color w:val="auto"/>
          <w:szCs w:val="22"/>
        </w:rPr>
        <w:t>’art.1</w:t>
      </w:r>
      <w:r w:rsidR="00D90B21">
        <w:rPr>
          <w:rFonts w:ascii="Arial" w:eastAsia="Arial" w:hAnsi="Arial" w:cs="Arial"/>
          <w:i/>
          <w:iCs/>
          <w:color w:val="auto"/>
          <w:szCs w:val="22"/>
        </w:rPr>
        <w:t xml:space="preserve"> della Legge di bilancio 2026 assegna</w:t>
      </w:r>
      <w:r>
        <w:rPr>
          <w:rFonts w:ascii="Arial" w:eastAsia="Arial" w:hAnsi="Arial" w:cs="Arial"/>
          <w:i/>
          <w:iCs/>
          <w:color w:val="auto"/>
          <w:szCs w:val="22"/>
        </w:rPr>
        <w:t>no</w:t>
      </w:r>
      <w:r w:rsidR="00D90B21" w:rsidRPr="00D90B21">
        <w:rPr>
          <w:rFonts w:ascii="Arial" w:eastAsia="Arial" w:hAnsi="Arial" w:cs="Arial"/>
          <w:i/>
          <w:iCs/>
          <w:color w:val="auto"/>
          <w:szCs w:val="22"/>
        </w:rPr>
        <w:t xml:space="preserve"> agli enti locali la </w:t>
      </w:r>
      <w:r w:rsidR="00972C7D">
        <w:rPr>
          <w:rFonts w:ascii="Arial" w:eastAsia="Arial" w:hAnsi="Arial" w:cs="Arial"/>
          <w:i/>
          <w:iCs/>
          <w:color w:val="auto"/>
          <w:szCs w:val="22"/>
        </w:rPr>
        <w:t>facoltà</w:t>
      </w:r>
      <w:r w:rsidR="00D90B21" w:rsidRPr="00D90B21">
        <w:rPr>
          <w:rFonts w:ascii="Arial" w:eastAsia="Arial" w:hAnsi="Arial" w:cs="Arial"/>
          <w:i/>
          <w:iCs/>
          <w:color w:val="auto"/>
          <w:szCs w:val="22"/>
        </w:rPr>
        <w:t xml:space="preserve"> di</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 xml:space="preserve">introdurre </w:t>
      </w:r>
      <w:r w:rsidR="00972C7D">
        <w:rPr>
          <w:rFonts w:ascii="Arial" w:eastAsia="Arial" w:hAnsi="Arial" w:cs="Arial"/>
          <w:i/>
          <w:iCs/>
          <w:color w:val="auto"/>
          <w:szCs w:val="22"/>
        </w:rPr>
        <w:t xml:space="preserve">autonomamente delle tipologie di definizione agevolata </w:t>
      </w:r>
      <w:r w:rsidR="00D90B21" w:rsidRPr="00D90B21">
        <w:rPr>
          <w:rFonts w:ascii="Arial" w:eastAsia="Arial" w:hAnsi="Arial" w:cs="Arial"/>
          <w:i/>
          <w:iCs/>
          <w:color w:val="auto"/>
          <w:szCs w:val="22"/>
        </w:rPr>
        <w:t>sui tributi e sulle entrate patrimoniali di propria competenza – con particolare</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(ma non esclusivo) riguardo a crediti di difficile esigibilità –che prevedano l’esclusione o la riduzione degli interessi o anche delle sanzioni, al fine di</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favorire lo smaltimento dei crediti pregressi.</w:t>
      </w:r>
      <w:r w:rsidR="00D90B21">
        <w:rPr>
          <w:rFonts w:ascii="Arial" w:eastAsia="Arial" w:hAnsi="Arial" w:cs="Arial"/>
          <w:i/>
          <w:iCs/>
          <w:color w:val="auto"/>
          <w:szCs w:val="22"/>
        </w:rPr>
        <w:t xml:space="preserve"> L</w:t>
      </w:r>
      <w:r w:rsidR="00D90B21" w:rsidRPr="00D90B21">
        <w:rPr>
          <w:rFonts w:ascii="Arial" w:eastAsia="Arial" w:hAnsi="Arial" w:cs="Arial"/>
          <w:i/>
          <w:iCs/>
          <w:color w:val="auto"/>
          <w:szCs w:val="22"/>
        </w:rPr>
        <w:t>a norma prevede l’emanazione di un atto regolamentare locale che richiede, entro un</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termine non inferiore a 60 giorni</w:t>
      </w:r>
      <w:r w:rsidR="00972C7D">
        <w:rPr>
          <w:rFonts w:ascii="Arial" w:eastAsia="Arial" w:hAnsi="Arial" w:cs="Arial"/>
          <w:i/>
          <w:iCs/>
          <w:color w:val="auto"/>
          <w:szCs w:val="22"/>
        </w:rPr>
        <w:t xml:space="preserve"> dalla data di pubblicazione dell’atto nel sito istituzionale dell’Ente</w:t>
      </w:r>
      <w:r w:rsidR="00D90B21" w:rsidRPr="00D90B21">
        <w:rPr>
          <w:rFonts w:ascii="Arial" w:eastAsia="Arial" w:hAnsi="Arial" w:cs="Arial"/>
          <w:i/>
          <w:iCs/>
          <w:color w:val="auto"/>
          <w:szCs w:val="22"/>
        </w:rPr>
        <w:t>, l’adempimento di obblighi tributari precedentemente in</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tutto o in parte non adempiuti, con esclusione degli interessi ed eventualmente anche delle</w:t>
      </w:r>
      <w:r w:rsidR="00D90B21">
        <w:rPr>
          <w:rFonts w:ascii="Arial" w:eastAsia="Arial" w:hAnsi="Arial" w:cs="Arial"/>
          <w:i/>
          <w:iCs/>
          <w:color w:val="auto"/>
          <w:szCs w:val="22"/>
        </w:rPr>
        <w:t xml:space="preserve"> s</w:t>
      </w:r>
      <w:r w:rsidR="00D90B21" w:rsidRPr="00D90B21">
        <w:rPr>
          <w:rFonts w:ascii="Arial" w:eastAsia="Arial" w:hAnsi="Arial" w:cs="Arial"/>
          <w:i/>
          <w:iCs/>
          <w:color w:val="auto"/>
          <w:szCs w:val="22"/>
        </w:rPr>
        <w:t>anzioni. La definizione agevolata può intervenire anche nei casi di procedure di</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accertamento già in corso o di controversie attribuite alla giurisdizione tributaria in cui è</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parte l’ente locale.</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Nel caso in cui sia la legge statale a prevedere forme di definizione agevolata, gli enti locali</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possono introdurre, anche nei casi di affidamento dell’attività di riscossione a società miste</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o in house, analoghe forme di definizione agevolata per assicurare ai contribuenti il</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medesimo trattamento tributario. Possono essere oggetto di definizione agevolata i tributi</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disciplinati e gestiti dalle regioni e dagli enti locali, con esclusione dell’imposta regionale</w:t>
      </w:r>
      <w:r w:rsidR="00D90B21">
        <w:rPr>
          <w:rFonts w:ascii="Arial" w:eastAsia="Arial" w:hAnsi="Arial" w:cs="Arial"/>
          <w:i/>
          <w:iCs/>
          <w:color w:val="auto"/>
          <w:szCs w:val="22"/>
        </w:rPr>
        <w:t xml:space="preserve"> </w:t>
      </w:r>
      <w:r w:rsidR="00D90B21" w:rsidRPr="00D90B21">
        <w:rPr>
          <w:rFonts w:ascii="Arial" w:eastAsia="Arial" w:hAnsi="Arial" w:cs="Arial"/>
          <w:i/>
          <w:iCs/>
          <w:color w:val="auto"/>
          <w:szCs w:val="22"/>
        </w:rPr>
        <w:t>sulle attività produttive, delle compartecipazioni e delle addizionali a tributi erariali.</w:t>
      </w:r>
    </w:p>
    <w:p w14:paraId="519AAAFE" w14:textId="1E4BB60A" w:rsidR="00D90B21" w:rsidRDefault="00972C7D" w:rsidP="00D90B2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Le leggi e i regolamenti degli enti locali devono riferirsi a periodo di tempo circoscritti e consentire l’utilizzo di tecnologie digitali per l’adempimento degli obblighi derivanti dall’applicazione delle relative disposizioni e sono adottati tenuto conto della situazione economico e finanziaria degli enti stessi e della capacità di incrementare la riscossione delle entrate.</w:t>
      </w:r>
    </w:p>
    <w:p w14:paraId="4530557B" w14:textId="2C1E2291" w:rsidR="00D90B21" w:rsidRPr="00776DB2" w:rsidRDefault="00972C7D" w:rsidP="00D90B2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La facoltà di adottare forme di definizione agevolata è estesa anche alle entrate di natura patrimoniale.</w:t>
      </w:r>
    </w:p>
    <w:p w14:paraId="65D5BD16" w14:textId="77777777" w:rsidR="009A5514" w:rsidRDefault="009A5514" w:rsidP="005F6721">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44C87D41" w14:textId="53C3DDD1" w:rsidR="005F6721" w:rsidRPr="007265D8" w:rsidRDefault="009A5514" w:rsidP="005F6721">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bCs/>
          <w:color w:val="C00000"/>
          <w:sz w:val="28"/>
          <w:szCs w:val="40"/>
        </w:rPr>
        <w:lastRenderedPageBreak/>
        <w:t xml:space="preserve"> </w:t>
      </w:r>
      <w:r w:rsidR="005F6721" w:rsidRPr="00B62E12">
        <w:rPr>
          <w:rFonts w:ascii="Calibri" w:eastAsiaTheme="majorEastAsia" w:hAnsi="Calibri" w:cs="Times New Roman (Titoli CS)"/>
          <w:b/>
          <w:bCs/>
          <w:color w:val="C00000"/>
          <w:sz w:val="28"/>
          <w:szCs w:val="40"/>
        </w:rPr>
        <w:t>7.1.</w:t>
      </w:r>
      <w:r w:rsidR="002C30C4">
        <w:rPr>
          <w:rFonts w:ascii="Calibri" w:eastAsiaTheme="majorEastAsia" w:hAnsi="Calibri" w:cs="Times New Roman (Titoli CS)"/>
          <w:b/>
          <w:bCs/>
          <w:color w:val="C00000"/>
          <w:sz w:val="28"/>
          <w:szCs w:val="40"/>
        </w:rPr>
        <w:t>3</w:t>
      </w:r>
      <w:r w:rsidR="005F6721" w:rsidRPr="00B62E12">
        <w:rPr>
          <w:rFonts w:ascii="Calibri" w:eastAsiaTheme="majorEastAsia" w:hAnsi="Calibri" w:cs="Times New Roman (Titoli CS)"/>
          <w:b/>
          <w:bCs/>
          <w:color w:val="C00000"/>
          <w:sz w:val="28"/>
          <w:szCs w:val="40"/>
        </w:rPr>
        <w:t xml:space="preserve">. </w:t>
      </w:r>
      <w:r w:rsidR="005F6721" w:rsidRPr="007265D8">
        <w:rPr>
          <w:rFonts w:ascii="Calibri" w:eastAsiaTheme="majorEastAsia" w:hAnsi="Calibri" w:cs="Times New Roman (Titoli CS)"/>
          <w:b/>
          <w:bCs/>
          <w:color w:val="C00000"/>
          <w:sz w:val="28"/>
          <w:szCs w:val="40"/>
        </w:rPr>
        <w:t xml:space="preserve">Trasferimenti </w:t>
      </w:r>
      <w:r w:rsidR="001061E5">
        <w:rPr>
          <w:rFonts w:ascii="Calibri" w:eastAsiaTheme="majorEastAsia" w:hAnsi="Calibri" w:cs="Times New Roman (Titoli CS)"/>
          <w:b/>
          <w:bCs/>
          <w:color w:val="C00000"/>
          <w:sz w:val="28"/>
          <w:szCs w:val="40"/>
        </w:rPr>
        <w:t xml:space="preserve">erariali </w:t>
      </w:r>
      <w:r w:rsidR="005F6721">
        <w:rPr>
          <w:rFonts w:ascii="Calibri" w:eastAsiaTheme="majorEastAsia" w:hAnsi="Calibri" w:cs="Times New Roman (Titoli CS)"/>
          <w:b/>
          <w:bCs/>
          <w:color w:val="C00000"/>
          <w:sz w:val="28"/>
          <w:szCs w:val="40"/>
        </w:rPr>
        <w:t>e</w:t>
      </w:r>
      <w:r w:rsidR="001061E5">
        <w:rPr>
          <w:rFonts w:ascii="Calibri" w:eastAsiaTheme="majorEastAsia" w:hAnsi="Calibri" w:cs="Times New Roman (Titoli CS)"/>
          <w:b/>
          <w:bCs/>
          <w:color w:val="C00000"/>
          <w:sz w:val="28"/>
          <w:szCs w:val="40"/>
        </w:rPr>
        <w:t xml:space="preserve"> attribuzioni di risorse</w:t>
      </w:r>
    </w:p>
    <w:p w14:paraId="3899FF6F" w14:textId="334E496D"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gli importi inseriti nel titolo 2 di entrata come trasferimenti correnti </w:t>
      </w:r>
      <w:r w:rsidRPr="00E1450A">
        <w:rPr>
          <w:rFonts w:ascii="Arial" w:eastAsia="Arial" w:hAnsi="Arial" w:cs="Arial"/>
          <w:b/>
          <w:bCs/>
          <w:color w:val="auto"/>
          <w:szCs w:val="22"/>
        </w:rPr>
        <w:t>corrispondono/non corrispond</w:t>
      </w:r>
      <w:r>
        <w:rPr>
          <w:rFonts w:ascii="Arial" w:eastAsia="Arial" w:hAnsi="Arial" w:cs="Arial"/>
          <w:b/>
          <w:bCs/>
          <w:color w:val="auto"/>
          <w:szCs w:val="22"/>
        </w:rPr>
        <w:t>ono</w:t>
      </w:r>
      <w:r w:rsidRPr="001061E5">
        <w:rPr>
          <w:rFonts w:ascii="Arial" w:eastAsia="Arial" w:hAnsi="Arial" w:cs="Arial"/>
          <w:color w:val="auto"/>
          <w:szCs w:val="22"/>
        </w:rPr>
        <w:t xml:space="preserve"> con quanto indicato nel sito web della finanza locale tra le spettanze per la tipologia 101 e per le altre tipologie i valori inseriti </w:t>
      </w:r>
      <w:r w:rsidRPr="00E1450A">
        <w:rPr>
          <w:rFonts w:ascii="Arial" w:eastAsia="Arial" w:hAnsi="Arial" w:cs="Arial"/>
          <w:b/>
          <w:bCs/>
          <w:color w:val="auto"/>
          <w:szCs w:val="22"/>
        </w:rPr>
        <w:t>sono</w:t>
      </w:r>
      <w:r>
        <w:rPr>
          <w:rFonts w:ascii="Arial" w:eastAsia="Arial" w:hAnsi="Arial" w:cs="Arial"/>
          <w:b/>
          <w:bCs/>
          <w:color w:val="auto"/>
          <w:szCs w:val="22"/>
        </w:rPr>
        <w:t xml:space="preserve"> supportati</w:t>
      </w:r>
      <w:r w:rsidRPr="00E1450A">
        <w:rPr>
          <w:rFonts w:ascii="Arial" w:eastAsia="Arial" w:hAnsi="Arial" w:cs="Arial"/>
          <w:b/>
          <w:bCs/>
          <w:color w:val="auto"/>
          <w:szCs w:val="22"/>
        </w:rPr>
        <w:t>/non sono supportati</w:t>
      </w:r>
      <w:r w:rsidRPr="001061E5">
        <w:rPr>
          <w:rFonts w:ascii="Arial" w:eastAsia="Arial" w:hAnsi="Arial" w:cs="Arial"/>
          <w:color w:val="auto"/>
          <w:szCs w:val="22"/>
        </w:rPr>
        <w:t xml:space="preserve"> da idonea documentazione e relativa motivazione.</w:t>
      </w:r>
    </w:p>
    <w:p w14:paraId="06E907CA" w14:textId="1B905440"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nuovo fondo speciale equità livello dei servizi.</w:t>
      </w:r>
    </w:p>
    <w:p w14:paraId="119AC7DF" w14:textId="1D510F4A" w:rsidR="005F6721" w:rsidRDefault="001061E5" w:rsidP="001061E5">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riparto del fondo previsto dall’art.1 comma 508 Legge n. 213/2023.</w:t>
      </w:r>
    </w:p>
    <w:p w14:paraId="0358AF64" w14:textId="2561211A" w:rsidR="005F6721" w:rsidRPr="00E1450A" w:rsidRDefault="005F6721" w:rsidP="00E1450A">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1450A">
        <w:rPr>
          <w:rFonts w:ascii="Arial" w:eastAsia="Arial" w:hAnsi="Arial" w:cs="Arial"/>
          <w:b/>
          <w:bCs/>
          <w:color w:val="000000"/>
          <w:szCs w:val="22"/>
        </w:rPr>
        <w:t>TAB</w:t>
      </w:r>
      <w:r w:rsidR="00756ABC" w:rsidRPr="00E1450A">
        <w:rPr>
          <w:rFonts w:ascii="Arial" w:eastAsia="Arial" w:hAnsi="Arial" w:cs="Arial"/>
          <w:b/>
          <w:bCs/>
          <w:color w:val="000000"/>
          <w:szCs w:val="22"/>
        </w:rPr>
        <w:t>ELLA</w:t>
      </w:r>
      <w:r w:rsidRPr="00E1450A">
        <w:rPr>
          <w:rFonts w:ascii="Arial" w:eastAsia="Arial" w:hAnsi="Arial" w:cs="Arial"/>
          <w:b/>
          <w:bCs/>
          <w:color w:val="000000"/>
          <w:szCs w:val="22"/>
        </w:rPr>
        <w:t xml:space="preserve"> 10</w:t>
      </w:r>
    </w:p>
    <w:p w14:paraId="2D4C03F5" w14:textId="77777777" w:rsidR="002A2EFA" w:rsidRPr="004B4CFE" w:rsidRDefault="002A2EFA" w:rsidP="002A2EFA">
      <w:pPr>
        <w:spacing w:line="240" w:lineRule="auto"/>
        <w:ind w:hanging="2"/>
        <w:rPr>
          <w:rFonts w:ascii="Arial" w:eastAsia="Arial" w:hAnsi="Arial" w:cs="Arial"/>
          <w:color w:val="auto"/>
          <w:szCs w:val="22"/>
        </w:rPr>
      </w:pPr>
    </w:p>
    <w:p w14:paraId="244124B9" w14:textId="3D0CD57F" w:rsidR="006636D4" w:rsidRPr="009A39B7" w:rsidRDefault="006636D4" w:rsidP="002A2EFA">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iCs/>
          <w:color w:val="00B0F0"/>
          <w:szCs w:val="22"/>
        </w:rPr>
      </w:pPr>
      <w:r w:rsidRPr="009A39B7">
        <w:rPr>
          <w:rFonts w:ascii="Arial" w:eastAsia="Arial" w:hAnsi="Arial" w:cs="Arial"/>
          <w:b/>
          <w:bCs/>
          <w:i/>
          <w:iCs/>
          <w:color w:val="00B0F0"/>
          <w:szCs w:val="22"/>
        </w:rPr>
        <w:t>N.B.</w:t>
      </w:r>
      <w:r w:rsidRPr="009A39B7">
        <w:rPr>
          <w:rFonts w:ascii="Arial" w:eastAsia="Arial" w:hAnsi="Arial" w:cs="Arial"/>
          <w:i/>
          <w:iCs/>
          <w:color w:val="00B0F0"/>
          <w:szCs w:val="22"/>
        </w:rPr>
        <w:t xml:space="preserve"> SOLO PER PROVINCE E CITTA’ METROPOLITANE</w:t>
      </w:r>
    </w:p>
    <w:p w14:paraId="37B22414" w14:textId="3D945E6A" w:rsidR="005F6721" w:rsidRPr="009A39B7" w:rsidRDefault="006636D4" w:rsidP="002A2EFA">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00B0F0"/>
          <w:szCs w:val="22"/>
        </w:rPr>
      </w:pPr>
      <w:r w:rsidRPr="009A39B7">
        <w:rPr>
          <w:rFonts w:ascii="Arial" w:eastAsia="Arial" w:hAnsi="Arial" w:cs="Arial"/>
          <w:b/>
          <w:bCs/>
          <w:i/>
          <w:iCs/>
          <w:color w:val="00B0F0"/>
          <w:szCs w:val="22"/>
        </w:rPr>
        <w:t xml:space="preserve">1. </w:t>
      </w:r>
      <w:r w:rsidRPr="009A39B7">
        <w:rPr>
          <w:rFonts w:ascii="Arial" w:eastAsia="Arial" w:hAnsi="Arial" w:cs="Arial"/>
          <w:i/>
          <w:iCs/>
          <w:color w:val="00B0F0"/>
          <w:szCs w:val="22"/>
        </w:rPr>
        <w:t xml:space="preserve"> </w:t>
      </w:r>
      <w:r w:rsidR="002A2EFA" w:rsidRPr="009A39B7">
        <w:rPr>
          <w:rFonts w:ascii="Arial" w:eastAsia="Arial" w:hAnsi="Arial" w:cs="Arial"/>
          <w:i/>
          <w:iCs/>
          <w:color w:val="00B0F0"/>
          <w:szCs w:val="22"/>
        </w:rPr>
        <w:t>L’art.1 comma 834 della Legge di bilancio 2026 consente a Province e Città metropolitane di contabilizzare correttamente le entrate perequative e i contributi statali per le funzioni fondamentali, compensando in spesa il concorso alla finanza pubblica.</w:t>
      </w:r>
    </w:p>
    <w:p w14:paraId="71C29FE5" w14:textId="6E99D1CC" w:rsidR="006636D4" w:rsidRPr="005777DA" w:rsidRDefault="006636D4" w:rsidP="009A39B7">
      <w:pPr>
        <w:pBdr>
          <w:top w:val="single" w:sz="18" w:space="1" w:color="EE0000"/>
          <w:left w:val="single" w:sz="18" w:space="1" w:color="EE0000"/>
          <w:bottom w:val="single" w:sz="18" w:space="1" w:color="EE0000"/>
          <w:right w:val="single" w:sz="18" w:space="1" w:color="EE0000"/>
        </w:pBdr>
        <w:spacing w:line="240" w:lineRule="auto"/>
        <w:ind w:hanging="2"/>
        <w:rPr>
          <w:rFonts w:ascii="Calibri" w:eastAsiaTheme="majorEastAsia" w:hAnsi="Calibri" w:cs="Times New Roman (Titoli CS)"/>
          <w:color w:val="C00000"/>
          <w:sz w:val="28"/>
          <w:szCs w:val="40"/>
        </w:rPr>
      </w:pPr>
      <w:r w:rsidRPr="009A39B7">
        <w:rPr>
          <w:rFonts w:ascii="Arial" w:eastAsia="Arial" w:hAnsi="Arial" w:cs="Arial"/>
          <w:b/>
          <w:bCs/>
          <w:i/>
          <w:iCs/>
          <w:color w:val="00B0F0"/>
          <w:szCs w:val="22"/>
        </w:rPr>
        <w:t xml:space="preserve">2.  </w:t>
      </w:r>
      <w:r w:rsidRPr="009A39B7">
        <w:rPr>
          <w:rFonts w:ascii="Arial" w:eastAsia="Arial" w:hAnsi="Arial" w:cs="Arial"/>
          <w:i/>
          <w:iCs/>
          <w:color w:val="00B0F0"/>
          <w:szCs w:val="22"/>
        </w:rPr>
        <w:t xml:space="preserve">L’Organo di revisione deve verificare che l’ente, nel bilancio 2026-2028, </w:t>
      </w:r>
      <w:r w:rsidRPr="005777DA">
        <w:rPr>
          <w:rFonts w:ascii="Arial" w:eastAsia="Arial" w:hAnsi="Arial" w:cs="Arial"/>
          <w:b/>
          <w:bCs/>
          <w:i/>
          <w:iCs/>
          <w:color w:val="00B0F0"/>
          <w:szCs w:val="22"/>
        </w:rPr>
        <w:t xml:space="preserve">ha/non ha </w:t>
      </w:r>
      <w:r w:rsidRPr="005777DA">
        <w:rPr>
          <w:rFonts w:ascii="Arial" w:eastAsia="Arial" w:hAnsi="Arial" w:cs="Arial"/>
          <w:i/>
          <w:iCs/>
          <w:color w:val="00B0F0"/>
          <w:szCs w:val="22"/>
        </w:rPr>
        <w:t>iscritto le spese per l’esercizio delle funzioni non fondamentali verificando la totale copertura finanziaria in entrata a carico della Regione di appartenenza</w:t>
      </w:r>
    </w:p>
    <w:p w14:paraId="09DCD667" w14:textId="1A54A075" w:rsidR="0059751B" w:rsidRDefault="0059751B" w:rsidP="00B23F36">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1E607C36" w14:textId="37255927"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4</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Sanzioni amministrative da codice della strada</w:t>
      </w:r>
    </w:p>
    <w:p w14:paraId="237D4954"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da sanzioni amministrative sono così previsti:</w:t>
      </w:r>
    </w:p>
    <w:p w14:paraId="1872E91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51" w:name="_heading=h.1mrcu09" w:colFirst="0" w:colLast="0"/>
      <w:bookmarkEnd w:id="51"/>
    </w:p>
    <w:p w14:paraId="6BE26558" w14:textId="30A75FA0" w:rsidR="00EE5694" w:rsidRPr="00B62E12" w:rsidRDefault="00EE5694" w:rsidP="00EE5694">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1</w:t>
      </w:r>
      <w:r w:rsidR="005F6721">
        <w:rPr>
          <w:rFonts w:ascii="Arial" w:eastAsia="Arial" w:hAnsi="Arial" w:cs="Arial"/>
          <w:b/>
          <w:bCs/>
          <w:iCs/>
          <w:color w:val="000000"/>
          <w:szCs w:val="22"/>
        </w:rPr>
        <w:t>1-</w:t>
      </w:r>
      <w:r w:rsidR="00E1450A">
        <w:rPr>
          <w:rFonts w:ascii="Arial" w:eastAsia="Arial" w:hAnsi="Arial" w:cs="Arial"/>
          <w:b/>
          <w:bCs/>
          <w:iCs/>
          <w:color w:val="000000"/>
          <w:szCs w:val="22"/>
        </w:rPr>
        <w:t>a</w:t>
      </w:r>
    </w:p>
    <w:p w14:paraId="0B640AF2" w14:textId="45D74B95"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p>
    <w:p w14:paraId="18048A42" w14:textId="1F90D8AC"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D8330C">
        <w:rPr>
          <w:rFonts w:ascii="Arial" w:eastAsia="Arial" w:hAnsi="Arial" w:cs="Arial"/>
          <w:color w:val="000000"/>
          <w:szCs w:val="22"/>
        </w:rPr>
        <w:t>ritiene</w:t>
      </w:r>
      <w:r>
        <w:rPr>
          <w:rFonts w:ascii="Arial" w:eastAsia="Arial" w:hAnsi="Arial" w:cs="Arial"/>
          <w:color w:val="000000"/>
          <w:szCs w:val="22"/>
        </w:rPr>
        <w:t xml:space="preserve"> la quantificazione dello stesso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congrua</w:t>
      </w:r>
      <w:r>
        <w:rPr>
          <w:rFonts w:ascii="Arial" w:eastAsia="Arial" w:hAnsi="Arial" w:cs="Arial"/>
          <w:color w:val="000000"/>
          <w:szCs w:val="22"/>
        </w:rPr>
        <w:t xml:space="preserve"> in relazione all’andamento storico delle riscossioni rispetto agli accertamenti. </w:t>
      </w:r>
    </w:p>
    <w:p w14:paraId="01BDD0AE" w14:textId="77777777" w:rsidR="009516BB" w:rsidRDefault="009516BB"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0138BD21" w14:textId="4FB8DB31"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52" w:name="_Hlk147824920"/>
      <w:r>
        <w:rPr>
          <w:rFonts w:ascii="Arial" w:eastAsia="Arial" w:hAnsi="Arial" w:cs="Arial"/>
          <w:color w:val="000000"/>
          <w:szCs w:val="22"/>
        </w:rPr>
        <w:t>La somma da assoggettare a vincoli è così distinta:</w:t>
      </w:r>
    </w:p>
    <w:p w14:paraId="78BC427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 208 comma 1 del codice della strada (D.lgs. 30.4.1992 n. 285);</w:t>
      </w:r>
    </w:p>
    <w:p w14:paraId="694F1198"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art.142, comma 12 bis del codice della strada (D.lgs. 30.4.1992 n. 285).</w:t>
      </w:r>
    </w:p>
    <w:p w14:paraId="50C533D6" w14:textId="44CBC24F" w:rsidR="00883971"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Con atto di Giunta</w:t>
      </w:r>
      <w:r w:rsidR="009A5514">
        <w:rPr>
          <w:rFonts w:ascii="Arial" w:eastAsia="Arial" w:hAnsi="Arial" w:cs="Arial"/>
          <w:color w:val="000000"/>
          <w:szCs w:val="22"/>
        </w:rPr>
        <w:t xml:space="preserve"> ___</w:t>
      </w:r>
      <w:r>
        <w:rPr>
          <w:rFonts w:ascii="Arial" w:eastAsia="Arial" w:hAnsi="Arial" w:cs="Arial"/>
          <w:color w:val="000000"/>
          <w:szCs w:val="22"/>
        </w:rPr>
        <w:t xml:space="preserve"> in data ……. </w:t>
      </w:r>
      <w:r w:rsidR="00782786">
        <w:rPr>
          <w:rFonts w:ascii="Arial" w:eastAsia="Arial" w:hAnsi="Arial" w:cs="Arial"/>
          <w:color w:val="000000"/>
          <w:szCs w:val="22"/>
        </w:rPr>
        <w:t>l’Ente ha destinato</w:t>
      </w:r>
      <w:r w:rsidR="00B62E12">
        <w:rPr>
          <w:rFonts w:ascii="Arial" w:eastAsia="Arial" w:hAnsi="Arial" w:cs="Arial"/>
          <w:color w:val="000000"/>
          <w:szCs w:val="22"/>
        </w:rPr>
        <w:t xml:space="preserve"> l’importo (previsione meno FCDE)</w:t>
      </w:r>
      <w:r w:rsidR="00782786">
        <w:rPr>
          <w:rFonts w:ascii="Arial" w:eastAsia="Arial" w:hAnsi="Arial" w:cs="Arial"/>
          <w:color w:val="000000"/>
          <w:szCs w:val="22"/>
        </w:rPr>
        <w:t>:</w:t>
      </w:r>
    </w:p>
    <w:p w14:paraId="77C7AC4A" w14:textId="665B6A93" w:rsidR="00883971" w:rsidRDefault="00B62E12">
      <w:pPr>
        <w:pStyle w:val="Paragrafoelenco"/>
        <w:numPr>
          <w:ilvl w:val="0"/>
          <w:numId w:val="13"/>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di</w:t>
      </w:r>
      <w:r w:rsidR="009A5514">
        <w:rPr>
          <w:rFonts w:ascii="Arial" w:eastAsia="Arial" w:hAnsi="Arial" w:cs="Arial"/>
          <w:color w:val="000000"/>
        </w:rPr>
        <w:t xml:space="preserve"> </w:t>
      </w:r>
      <w:r w:rsidR="000F434D" w:rsidRPr="00EC61E8">
        <w:rPr>
          <w:rFonts w:ascii="Arial" w:eastAsia="Arial" w:hAnsi="Arial" w:cs="Arial"/>
          <w:color w:val="000000"/>
        </w:rPr>
        <w:t xml:space="preserve">euro </w:t>
      </w:r>
      <w:r w:rsidR="009A5514">
        <w:rPr>
          <w:rFonts w:ascii="Arial" w:eastAsia="Arial" w:hAnsi="Arial" w:cs="Arial"/>
          <w:color w:val="000000"/>
        </w:rPr>
        <w:t>___</w:t>
      </w:r>
      <w:r w:rsidR="000F434D" w:rsidRPr="00EC61E8">
        <w:rPr>
          <w:rFonts w:ascii="Arial" w:eastAsia="Arial" w:hAnsi="Arial" w:cs="Arial"/>
          <w:color w:val="000000"/>
        </w:rPr>
        <w:t xml:space="preserve"> </w:t>
      </w:r>
      <w:r w:rsidR="0067743C" w:rsidRPr="00EC61E8">
        <w:rPr>
          <w:rFonts w:ascii="Arial" w:eastAsia="Arial" w:hAnsi="Arial" w:cs="Arial"/>
          <w:color w:val="000000"/>
        </w:rPr>
        <w:t>a</w:t>
      </w:r>
      <w:r w:rsidR="000F434D" w:rsidRPr="00EC61E8">
        <w:rPr>
          <w:rFonts w:ascii="Arial" w:eastAsia="Arial" w:hAnsi="Arial" w:cs="Arial"/>
          <w:color w:val="000000"/>
        </w:rPr>
        <w:t>gli interventi di spesa alle finalità di cui agli articoli 142 comma 12 ter</w:t>
      </w:r>
      <w:r w:rsidR="00782786">
        <w:rPr>
          <w:rFonts w:ascii="Arial" w:eastAsia="Arial" w:hAnsi="Arial" w:cs="Arial"/>
          <w:color w:val="000000"/>
        </w:rPr>
        <w:t>;</w:t>
      </w:r>
      <w:r w:rsidR="000F434D" w:rsidRPr="00EC61E8">
        <w:rPr>
          <w:rFonts w:ascii="Arial" w:eastAsia="Arial" w:hAnsi="Arial" w:cs="Arial"/>
          <w:color w:val="000000"/>
        </w:rPr>
        <w:t xml:space="preserve"> </w:t>
      </w:r>
    </w:p>
    <w:p w14:paraId="1962E058" w14:textId="5AEA30D5" w:rsidR="000F434D" w:rsidRPr="00EC61E8" w:rsidRDefault="00B62E12">
      <w:pPr>
        <w:pStyle w:val="Paragrafoelenco"/>
        <w:numPr>
          <w:ilvl w:val="0"/>
          <w:numId w:val="13"/>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di</w:t>
      </w:r>
      <w:r w:rsidR="00782786">
        <w:rPr>
          <w:rFonts w:ascii="Arial" w:eastAsia="Arial" w:hAnsi="Arial" w:cs="Arial"/>
          <w:color w:val="000000"/>
        </w:rPr>
        <w:t xml:space="preserve"> euro </w:t>
      </w:r>
      <w:r w:rsidR="009A5514">
        <w:rPr>
          <w:rFonts w:ascii="Arial" w:eastAsia="Arial" w:hAnsi="Arial" w:cs="Arial"/>
          <w:color w:val="000000"/>
        </w:rPr>
        <w:t>____</w:t>
      </w:r>
      <w:r w:rsidR="00160626">
        <w:rPr>
          <w:rFonts w:ascii="Arial" w:eastAsia="Arial" w:hAnsi="Arial" w:cs="Arial"/>
          <w:color w:val="000000"/>
        </w:rPr>
        <w:t xml:space="preserve"> (</w:t>
      </w:r>
      <w:r w:rsidR="00782786">
        <w:rPr>
          <w:rFonts w:ascii="Arial" w:eastAsia="Arial" w:hAnsi="Arial" w:cs="Arial"/>
          <w:color w:val="000000"/>
        </w:rPr>
        <w:t>pari al 50% dei proventi</w:t>
      </w:r>
      <w:r>
        <w:rPr>
          <w:rFonts w:ascii="Arial" w:eastAsia="Arial" w:hAnsi="Arial" w:cs="Arial"/>
          <w:color w:val="000000"/>
        </w:rPr>
        <w:t>)</w:t>
      </w:r>
      <w:r w:rsidR="00782786">
        <w:rPr>
          <w:rFonts w:ascii="Arial" w:eastAsia="Arial" w:hAnsi="Arial" w:cs="Arial"/>
          <w:color w:val="000000"/>
        </w:rPr>
        <w:t xml:space="preserve"> </w:t>
      </w:r>
      <w:r w:rsidR="00883971">
        <w:rPr>
          <w:rFonts w:ascii="Arial" w:eastAsia="Arial" w:hAnsi="Arial" w:cs="Arial"/>
          <w:color w:val="000000"/>
        </w:rPr>
        <w:t>agli interventi di cui all’art.</w:t>
      </w:r>
      <w:r w:rsidR="000F434D" w:rsidRPr="00EC61E8">
        <w:rPr>
          <w:rFonts w:ascii="Arial" w:eastAsia="Arial" w:hAnsi="Arial" w:cs="Arial"/>
          <w:color w:val="000000"/>
        </w:rPr>
        <w:t xml:space="preserve"> 208, comma 4 e comma 5 bis, del codice della strada, come modificato dall’art. 40 della Legge n. 120 del 29/7/2010.</w:t>
      </w:r>
    </w:p>
    <w:bookmarkEnd w:id="52"/>
    <w:p w14:paraId="01454792" w14:textId="0F2ACF95"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lastRenderedPageBreak/>
        <w:t>La Giunta ha destinato euro …………. alla previdenza ed assistenza del personale Polizia Municipale.</w:t>
      </w:r>
    </w:p>
    <w:p w14:paraId="59D756F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quota vincolata è destinata:</w:t>
      </w:r>
    </w:p>
    <w:p w14:paraId="35306B5F" w14:textId="786A3D99"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1 spesa corrente per euro …….. </w:t>
      </w:r>
    </w:p>
    <w:p w14:paraId="1D93E37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2 spesa in conto capitale per euro…………...</w:t>
      </w:r>
    </w:p>
    <w:p w14:paraId="4D894E4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278CC6A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w:t>
      </w:r>
      <w:r>
        <w:rPr>
          <w:rFonts w:ascii="Arial" w:eastAsia="Arial" w:hAnsi="Arial" w:cs="Arial"/>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ha verificato che l’</w:t>
      </w:r>
      <w:r w:rsidRPr="00D86288">
        <w:rPr>
          <w:rFonts w:ascii="Arial" w:eastAsia="Arial" w:hAnsi="Arial" w:cs="Arial"/>
          <w:color w:val="auto"/>
          <w:szCs w:val="22"/>
        </w:rPr>
        <w:t>E</w:t>
      </w:r>
      <w:r>
        <w:rPr>
          <w:rFonts w:ascii="Arial" w:eastAsia="Arial" w:hAnsi="Arial" w:cs="Arial"/>
          <w:color w:val="000000"/>
          <w:szCs w:val="22"/>
        </w:rPr>
        <w:t xml:space="preserve">nte </w:t>
      </w:r>
      <w:r>
        <w:rPr>
          <w:rFonts w:ascii="Arial" w:eastAsia="Arial" w:hAnsi="Arial" w:cs="Arial"/>
          <w:b/>
          <w:color w:val="000000"/>
          <w:szCs w:val="22"/>
        </w:rPr>
        <w:t>ha/non ha</w:t>
      </w:r>
      <w:r>
        <w:rPr>
          <w:rFonts w:ascii="Arial" w:eastAsia="Arial" w:hAnsi="Arial" w:cs="Arial"/>
          <w:color w:val="000000"/>
          <w:szCs w:val="22"/>
        </w:rPr>
        <w:t xml:space="preserve"> correttamente suddiviso nel bilancio le risorse relative alle sanzioni amministrative da codice della strada sulla base delle indicazioni fornite con il D.M. 29 agosto 2018. </w:t>
      </w:r>
    </w:p>
    <w:p w14:paraId="5EAE75E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szCs w:val="22"/>
        </w:rPr>
      </w:pPr>
    </w:p>
    <w:p w14:paraId="65EDC1FC" w14:textId="77777777" w:rsidR="000F434D" w:rsidRPr="004B4CFE" w:rsidRDefault="000F434D" w:rsidP="000F434D">
      <w:pPr>
        <w:pBdr>
          <w:top w:val="nil"/>
          <w:left w:val="nil"/>
          <w:bottom w:val="nil"/>
          <w:right w:val="nil"/>
          <w:between w:val="nil"/>
        </w:pBdr>
        <w:spacing w:after="12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 xml:space="preserve">ha/non ha </w:t>
      </w:r>
      <w:r w:rsidRPr="004B4CFE">
        <w:rPr>
          <w:rFonts w:ascii="Arial" w:eastAsia="Arial" w:hAnsi="Arial" w:cs="Arial"/>
          <w:color w:val="auto"/>
          <w:szCs w:val="22"/>
        </w:rPr>
        <w:t>provveduto alla certificazione al Ministero dell’Interno dell’utilizzo delle sanzioni al codice della strada per gli esercizi precedenti.</w:t>
      </w:r>
    </w:p>
    <w:p w14:paraId="44580A42" w14:textId="5865F95B" w:rsidR="00635C4D" w:rsidRPr="004B4CFE" w:rsidRDefault="00635C4D" w:rsidP="00635C4D">
      <w:pPr>
        <w:pBdr>
          <w:top w:val="nil"/>
          <w:left w:val="nil"/>
          <w:bottom w:val="nil"/>
          <w:right w:val="nil"/>
          <w:between w:val="nil"/>
        </w:pBdr>
        <w:spacing w:after="120" w:line="240" w:lineRule="auto"/>
        <w:ind w:left="-2"/>
        <w:rPr>
          <w:rFonts w:ascii="Arial" w:eastAsia="Arial" w:hAnsi="Arial" w:cs="Arial"/>
          <w:color w:val="auto"/>
          <w:szCs w:val="22"/>
        </w:rPr>
      </w:pPr>
      <w:r w:rsidRPr="004B4CFE">
        <w:rPr>
          <w:rFonts w:ascii="Arial" w:eastAsia="Arial" w:hAnsi="Arial" w:cs="Arial"/>
          <w:color w:val="auto"/>
          <w:szCs w:val="22"/>
        </w:rPr>
        <w:t>L’Organo di revisione ritiene</w:t>
      </w:r>
      <w:r w:rsidR="00EC61E8" w:rsidRPr="004B4CFE">
        <w:rPr>
          <w:rFonts w:ascii="Arial" w:eastAsia="Arial" w:hAnsi="Arial" w:cs="Arial"/>
          <w:b/>
          <w:bCs/>
          <w:color w:val="auto"/>
          <w:szCs w:val="22"/>
        </w:rPr>
        <w:t xml:space="preserve"> </w:t>
      </w:r>
      <w:r w:rsidRPr="004B4CFE">
        <w:rPr>
          <w:rFonts w:ascii="Arial" w:eastAsia="Arial" w:hAnsi="Arial" w:cs="Arial"/>
          <w:color w:val="auto"/>
          <w:szCs w:val="22"/>
        </w:rPr>
        <w:t xml:space="preserve">che la quantificazione del FCDE </w:t>
      </w:r>
      <w:r w:rsidRPr="004B4CFE">
        <w:rPr>
          <w:rFonts w:ascii="Arial" w:eastAsia="Arial" w:hAnsi="Arial" w:cs="Arial"/>
          <w:b/>
          <w:bCs/>
          <w:color w:val="auto"/>
          <w:szCs w:val="22"/>
        </w:rPr>
        <w:t>sia congrua</w:t>
      </w:r>
      <w:r w:rsidR="00EC61E8" w:rsidRPr="004B4CFE">
        <w:rPr>
          <w:rFonts w:ascii="Arial" w:eastAsia="Arial" w:hAnsi="Arial" w:cs="Arial"/>
          <w:b/>
          <w:bCs/>
          <w:color w:val="auto"/>
          <w:szCs w:val="22"/>
        </w:rPr>
        <w:t>/non sia congrua</w:t>
      </w:r>
      <w:r w:rsidRPr="004B4CFE">
        <w:rPr>
          <w:rFonts w:ascii="Arial" w:eastAsia="Arial" w:hAnsi="Arial" w:cs="Arial"/>
          <w:color w:val="auto"/>
          <w:szCs w:val="22"/>
        </w:rPr>
        <w:t xml:space="preserve"> in relazione all’andamento storico delle riscossioni rispetto agli accertamenti.</w:t>
      </w:r>
    </w:p>
    <w:p w14:paraId="3D4ECC84" w14:textId="77777777" w:rsidR="006202C9" w:rsidRDefault="006202C9"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2E311EB5" w14:textId="0D742F7F" w:rsidR="000F434D" w:rsidRPr="00B62E12" w:rsidRDefault="00782786"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w:t>
      </w:r>
      <w:r w:rsidR="002C30C4">
        <w:rPr>
          <w:rFonts w:ascii="Calibri" w:eastAsiaTheme="majorEastAsia" w:hAnsi="Calibri" w:cs="Times New Roman (Titoli CS)"/>
          <w:b/>
          <w:color w:val="C00000"/>
          <w:sz w:val="28"/>
          <w:szCs w:val="40"/>
        </w:rPr>
        <w:t>5.</w:t>
      </w:r>
      <w:r>
        <w:rPr>
          <w:rFonts w:ascii="Calibri" w:eastAsiaTheme="majorEastAsia" w:hAnsi="Calibri" w:cs="Times New Roman (Titoli CS)"/>
          <w:b/>
          <w:color w:val="C00000"/>
          <w:sz w:val="28"/>
          <w:szCs w:val="40"/>
        </w:rPr>
        <w:t xml:space="preserve"> </w:t>
      </w:r>
      <w:r w:rsidR="00A73EAD" w:rsidRPr="00B62E12">
        <w:rPr>
          <w:rFonts w:ascii="Calibri" w:eastAsiaTheme="majorEastAsia" w:hAnsi="Calibri" w:cs="Times New Roman (Titoli CS)"/>
          <w:b/>
          <w:color w:val="C00000"/>
          <w:sz w:val="28"/>
          <w:szCs w:val="40"/>
        </w:rPr>
        <w:t>P</w:t>
      </w:r>
      <w:r w:rsidR="000F434D" w:rsidRPr="00B62E12">
        <w:rPr>
          <w:rFonts w:ascii="Calibri" w:eastAsiaTheme="majorEastAsia" w:hAnsi="Calibri" w:cs="Times New Roman (Titoli CS)"/>
          <w:b/>
          <w:color w:val="C00000"/>
          <w:sz w:val="28"/>
          <w:szCs w:val="40"/>
        </w:rPr>
        <w:t>roventi dei beni dell’ente</w:t>
      </w:r>
    </w:p>
    <w:p w14:paraId="4F25151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dei beni dell’ente per locazioni, fitti attivi e canoni patrimoniali sono così previsti:</w:t>
      </w:r>
    </w:p>
    <w:p w14:paraId="29496202" w14:textId="77777777" w:rsidR="00782786" w:rsidRDefault="00782786"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75C891A" w14:textId="62ABFF95" w:rsidR="00782786" w:rsidRPr="00B62E12" w:rsidRDefault="00782786" w:rsidP="00782786">
      <w:pPr>
        <w:widowControl w:val="0"/>
        <w:pBdr>
          <w:top w:val="nil"/>
          <w:left w:val="nil"/>
          <w:bottom w:val="nil"/>
          <w:right w:val="nil"/>
          <w:between w:val="nil"/>
        </w:pBdr>
        <w:spacing w:after="120" w:line="240" w:lineRule="auto"/>
        <w:ind w:hanging="2"/>
        <w:jc w:val="center"/>
        <w:rPr>
          <w:rFonts w:ascii="Arial" w:eastAsia="Arial" w:hAnsi="Arial" w:cs="Arial"/>
          <w:b/>
          <w:bCs/>
          <w:szCs w:val="22"/>
        </w:rPr>
      </w:pPr>
      <w:bookmarkStart w:id="53" w:name="_heading=h.2lwamvv" w:colFirst="0" w:colLast="0"/>
      <w:bookmarkEnd w:id="53"/>
      <w:r w:rsidRPr="00B62E12">
        <w:rPr>
          <w:rFonts w:ascii="Arial" w:eastAsia="Arial" w:hAnsi="Arial" w:cs="Arial"/>
          <w:b/>
          <w:bCs/>
          <w:szCs w:val="22"/>
        </w:rPr>
        <w:t>TABELLA 11-</w:t>
      </w:r>
      <w:r w:rsidR="00E1450A">
        <w:rPr>
          <w:rFonts w:ascii="Arial" w:eastAsia="Arial" w:hAnsi="Arial" w:cs="Arial"/>
          <w:b/>
          <w:bCs/>
          <w:szCs w:val="22"/>
        </w:rPr>
        <w:t>b</w:t>
      </w:r>
    </w:p>
    <w:p w14:paraId="4D5FF4D6" w14:textId="5973CDE0" w:rsidR="000F434D" w:rsidRDefault="000F434D" w:rsidP="000F434D">
      <w:pPr>
        <w:pBdr>
          <w:top w:val="nil"/>
          <w:left w:val="nil"/>
          <w:bottom w:val="nil"/>
          <w:right w:val="nil"/>
          <w:between w:val="nil"/>
        </w:pBdr>
        <w:spacing w:after="120" w:line="240" w:lineRule="auto"/>
        <w:ind w:left="-2"/>
        <w:rPr>
          <w:rFonts w:ascii="Arial" w:eastAsia="Arial" w:hAnsi="Arial" w:cs="Arial"/>
          <w:color w:val="000000"/>
          <w:szCs w:val="22"/>
        </w:rPr>
      </w:pPr>
      <w:r w:rsidRPr="00D86288">
        <w:rPr>
          <w:rFonts w:ascii="Arial" w:eastAsia="Arial" w:hAnsi="Arial" w:cs="Arial"/>
          <w:color w:val="auto"/>
          <w:szCs w:val="22"/>
        </w:rPr>
        <w:t xml:space="preserve">L’Organo </w:t>
      </w:r>
      <w:r>
        <w:rPr>
          <w:rFonts w:ascii="Arial" w:eastAsia="Arial" w:hAnsi="Arial" w:cs="Arial"/>
          <w:color w:val="000000"/>
          <w:szCs w:val="22"/>
        </w:rPr>
        <w:t xml:space="preserve">di revisione </w:t>
      </w:r>
      <w:r w:rsidR="00EC61E8">
        <w:rPr>
          <w:rFonts w:ascii="Arial" w:eastAsia="Arial" w:hAnsi="Arial" w:cs="Arial"/>
          <w:color w:val="000000"/>
          <w:szCs w:val="22"/>
        </w:rPr>
        <w:t xml:space="preserve">ritiene </w:t>
      </w:r>
      <w:r>
        <w:rPr>
          <w:rFonts w:ascii="Arial" w:eastAsia="Arial" w:hAnsi="Arial" w:cs="Arial"/>
          <w:color w:val="000000"/>
          <w:szCs w:val="22"/>
        </w:rPr>
        <w:t xml:space="preserve">la quantificazione del FCDE </w:t>
      </w:r>
      <w:r w:rsidR="00EC61E8">
        <w:rPr>
          <w:rFonts w:ascii="Arial" w:eastAsia="Arial" w:hAnsi="Arial" w:cs="Arial"/>
          <w:b/>
          <w:bCs/>
          <w:color w:val="000000"/>
          <w:szCs w:val="22"/>
        </w:rPr>
        <w:t xml:space="preserve">congrua </w:t>
      </w:r>
      <w:r w:rsidR="00EC61E8" w:rsidRPr="00EC61E8">
        <w:rPr>
          <w:rFonts w:ascii="Arial" w:eastAsia="Arial" w:hAnsi="Arial" w:cs="Arial"/>
          <w:b/>
          <w:bCs/>
          <w:color w:val="000000"/>
          <w:szCs w:val="22"/>
        </w:rPr>
        <w:t xml:space="preserve">/non </w:t>
      </w:r>
      <w:r w:rsidRPr="00EC61E8">
        <w:rPr>
          <w:rFonts w:ascii="Arial" w:eastAsia="Arial" w:hAnsi="Arial" w:cs="Arial"/>
          <w:b/>
          <w:bCs/>
          <w:color w:val="000000"/>
          <w:szCs w:val="22"/>
        </w:rPr>
        <w:t>congrua</w:t>
      </w:r>
      <w:r>
        <w:rPr>
          <w:rFonts w:ascii="Arial" w:eastAsia="Arial" w:hAnsi="Arial" w:cs="Arial"/>
          <w:color w:val="000000"/>
          <w:szCs w:val="22"/>
        </w:rPr>
        <w:t xml:space="preserve"> in relazione all’andamento storico delle riscossioni rispetto agli accertamenti.</w:t>
      </w:r>
    </w:p>
    <w:p w14:paraId="75409DF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AF8FFF8" w14:textId="3937AEA5"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6</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Proventi dei servizi pubblici e vendita di beni</w:t>
      </w:r>
    </w:p>
    <w:p w14:paraId="5DAD582E"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Il dettaglio delle previsioni di proventi dei servizi dell’</w:t>
      </w:r>
      <w:r w:rsidRPr="00D86288">
        <w:rPr>
          <w:rFonts w:ascii="Arial" w:eastAsia="Arial" w:hAnsi="Arial" w:cs="Arial"/>
          <w:color w:val="auto"/>
          <w:szCs w:val="22"/>
        </w:rPr>
        <w:t>E</w:t>
      </w:r>
      <w:r>
        <w:rPr>
          <w:rFonts w:ascii="Arial" w:eastAsia="Arial" w:hAnsi="Arial" w:cs="Arial"/>
          <w:color w:val="000000"/>
          <w:szCs w:val="22"/>
        </w:rPr>
        <w:t>nte e dei servizi a domanda individuale è il seguente:</w:t>
      </w:r>
    </w:p>
    <w:p w14:paraId="5E1CD4F8" w14:textId="103E762D" w:rsidR="000F434D" w:rsidRPr="00B62E12" w:rsidRDefault="00EE5694" w:rsidP="000F434D">
      <w:pPr>
        <w:widowControl w:val="0"/>
        <w:pBdr>
          <w:top w:val="nil"/>
          <w:left w:val="nil"/>
          <w:bottom w:val="nil"/>
          <w:right w:val="nil"/>
          <w:between w:val="nil"/>
        </w:pBdr>
        <w:spacing w:after="120" w:line="240" w:lineRule="auto"/>
        <w:ind w:hanging="2"/>
        <w:jc w:val="center"/>
        <w:rPr>
          <w:rFonts w:ascii="Arial" w:eastAsia="Arial" w:hAnsi="Arial" w:cs="Arial"/>
          <w:b/>
          <w:bCs/>
          <w:szCs w:val="22"/>
        </w:rPr>
      </w:pPr>
      <w:r w:rsidRPr="00B62E12">
        <w:rPr>
          <w:rFonts w:ascii="Arial" w:eastAsia="Arial" w:hAnsi="Arial" w:cs="Arial"/>
          <w:b/>
          <w:bCs/>
          <w:szCs w:val="22"/>
        </w:rPr>
        <w:t>TABELLA 11</w:t>
      </w:r>
      <w:r w:rsidR="00782786" w:rsidRPr="00B62E12">
        <w:rPr>
          <w:rFonts w:ascii="Arial" w:eastAsia="Arial" w:hAnsi="Arial" w:cs="Arial"/>
          <w:b/>
          <w:bCs/>
          <w:szCs w:val="22"/>
        </w:rPr>
        <w:t>-</w:t>
      </w:r>
      <w:r w:rsidR="00E1450A">
        <w:rPr>
          <w:rFonts w:ascii="Arial" w:eastAsia="Arial" w:hAnsi="Arial" w:cs="Arial"/>
          <w:b/>
          <w:bCs/>
          <w:szCs w:val="22"/>
        </w:rPr>
        <w:t>c</w:t>
      </w:r>
    </w:p>
    <w:p w14:paraId="4504EA31" w14:textId="4B2E5FCA"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bookmarkStart w:id="54" w:name="_heading=h.3l18frh" w:colFirst="0" w:colLast="0"/>
      <w:bookmarkStart w:id="55" w:name="_heading=h.206ipza" w:colFirst="0" w:colLast="0"/>
      <w:bookmarkEnd w:id="54"/>
      <w:bookmarkEnd w:id="55"/>
      <w:r>
        <w:rPr>
          <w:rFonts w:ascii="Arial" w:eastAsia="Arial" w:hAnsi="Arial" w:cs="Arial"/>
          <w:color w:val="000000"/>
          <w:szCs w:val="22"/>
        </w:rPr>
        <w:t xml:space="preserve">L’Organo di revisione </w:t>
      </w:r>
      <w:r w:rsidR="00EC61E8">
        <w:rPr>
          <w:rFonts w:ascii="Arial" w:eastAsia="Arial" w:hAnsi="Arial" w:cs="Arial"/>
          <w:color w:val="000000"/>
          <w:szCs w:val="22"/>
        </w:rPr>
        <w:t>ritiene</w:t>
      </w:r>
      <w:r>
        <w:rPr>
          <w:rFonts w:ascii="Arial" w:eastAsia="Arial" w:hAnsi="Arial" w:cs="Arial"/>
          <w:color w:val="000000"/>
          <w:szCs w:val="22"/>
        </w:rPr>
        <w:t xml:space="preserve"> la quantificazione del FCDE </w:t>
      </w:r>
      <w:r w:rsidR="00D12016">
        <w:rPr>
          <w:rFonts w:ascii="Arial" w:eastAsia="Arial" w:hAnsi="Arial" w:cs="Arial"/>
          <w:b/>
          <w:bCs/>
          <w:color w:val="000000"/>
          <w:szCs w:val="22"/>
        </w:rPr>
        <w:t>congrua</w:t>
      </w:r>
      <w:r w:rsidR="00EC61E8" w:rsidRPr="00EC61E8">
        <w:rPr>
          <w:rFonts w:ascii="Arial" w:eastAsia="Arial" w:hAnsi="Arial" w:cs="Arial"/>
          <w:b/>
          <w:bCs/>
          <w:color w:val="000000"/>
          <w:szCs w:val="22"/>
        </w:rPr>
        <w:t>/non</w:t>
      </w:r>
      <w:r w:rsidR="00D12016">
        <w:rPr>
          <w:rFonts w:ascii="Arial" w:eastAsia="Arial" w:hAnsi="Arial" w:cs="Arial"/>
          <w:b/>
          <w:bCs/>
          <w:color w:val="000000"/>
          <w:szCs w:val="22"/>
        </w:rPr>
        <w:t xml:space="preserve"> </w:t>
      </w:r>
      <w:r w:rsidR="00EC61E8" w:rsidRPr="00EC61E8">
        <w:rPr>
          <w:rFonts w:ascii="Arial" w:eastAsia="Arial" w:hAnsi="Arial" w:cs="Arial"/>
          <w:b/>
          <w:bCs/>
          <w:color w:val="000000"/>
          <w:szCs w:val="22"/>
        </w:rPr>
        <w:t>congrua</w:t>
      </w:r>
      <w:r w:rsidR="00EC61E8">
        <w:rPr>
          <w:rFonts w:ascii="Arial" w:eastAsia="Arial" w:hAnsi="Arial" w:cs="Arial"/>
          <w:color w:val="000000"/>
          <w:szCs w:val="22"/>
        </w:rPr>
        <w:t xml:space="preserve"> </w:t>
      </w:r>
      <w:r>
        <w:rPr>
          <w:rFonts w:ascii="Arial" w:eastAsia="Arial" w:hAnsi="Arial" w:cs="Arial"/>
          <w:color w:val="000000"/>
          <w:szCs w:val="22"/>
        </w:rPr>
        <w:t>in relazione all’andamento storico delle riscossioni rispetto agli accertamenti.</w:t>
      </w:r>
    </w:p>
    <w:p w14:paraId="689926A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p>
    <w:p w14:paraId="566DA29F" w14:textId="1D93AC1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esecutivo con deliberazione n. ……. del ………., allegata </w:t>
      </w:r>
      <w:r w:rsidR="00160626">
        <w:rPr>
          <w:rFonts w:ascii="Arial" w:eastAsia="Arial" w:hAnsi="Arial" w:cs="Arial"/>
          <w:color w:val="000000"/>
          <w:szCs w:val="22"/>
        </w:rPr>
        <w:t>al bilancio</w:t>
      </w:r>
      <w:r>
        <w:rPr>
          <w:rFonts w:ascii="Arial" w:eastAsia="Arial" w:hAnsi="Arial" w:cs="Arial"/>
          <w:color w:val="000000"/>
          <w:szCs w:val="22"/>
        </w:rPr>
        <w:t>, ha determinato la percentuale complessiva di copertura dei servizi a domanda individuale nella misura del …. %.</w:t>
      </w:r>
    </w:p>
    <w:p w14:paraId="47049D8E"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71D2A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Sulla base dei dati di cui sopra e tenuto conto del dato storico sulla parziale esigibilità delle rette e contribuzione per i servizi pubblici a domanda è previsto nella spesa un fondo svalutazione crediti di euro ……</w:t>
      </w:r>
    </w:p>
    <w:p w14:paraId="54FCE8C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579FD06" w14:textId="65726CC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In merito si </w:t>
      </w:r>
      <w:r w:rsidR="00160626">
        <w:rPr>
          <w:rFonts w:ascii="Arial" w:eastAsia="Arial" w:hAnsi="Arial" w:cs="Arial"/>
          <w:color w:val="000000"/>
          <w:szCs w:val="22"/>
        </w:rPr>
        <w:t>osserva: …</w:t>
      </w:r>
      <w:r>
        <w:rPr>
          <w:rFonts w:ascii="Arial" w:eastAsia="Arial" w:hAnsi="Arial" w:cs="Arial"/>
          <w:color w:val="000000"/>
          <w:szCs w:val="22"/>
        </w:rPr>
        <w:t>………………………..</w:t>
      </w:r>
    </w:p>
    <w:p w14:paraId="33EC788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11D92A2A" w14:textId="775F5F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D8628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prende atto che l’</w:t>
      </w:r>
      <w:r w:rsidR="00EC61E8">
        <w:rPr>
          <w:rFonts w:ascii="Arial" w:eastAsia="Arial" w:hAnsi="Arial" w:cs="Arial"/>
          <w:color w:val="000000"/>
          <w:szCs w:val="22"/>
        </w:rPr>
        <w:t>E</w:t>
      </w:r>
      <w:r>
        <w:rPr>
          <w:rFonts w:ascii="Arial" w:eastAsia="Arial" w:hAnsi="Arial" w:cs="Arial"/>
          <w:color w:val="000000"/>
          <w:szCs w:val="22"/>
        </w:rPr>
        <w:t xml:space="preserve">nte </w:t>
      </w:r>
      <w:r w:rsidRPr="006B126D">
        <w:rPr>
          <w:rFonts w:ascii="Arial" w:eastAsia="Arial" w:hAnsi="Arial" w:cs="Arial"/>
          <w:b/>
          <w:iCs/>
          <w:color w:val="000000"/>
          <w:szCs w:val="22"/>
        </w:rPr>
        <w:t>ha/non ha</w:t>
      </w:r>
      <w:r>
        <w:rPr>
          <w:rFonts w:ascii="Arial" w:eastAsia="Arial" w:hAnsi="Arial" w:cs="Arial"/>
          <w:color w:val="000000"/>
          <w:szCs w:val="22"/>
        </w:rPr>
        <w:t xml:space="preserve"> provveduto </w:t>
      </w:r>
      <w:r w:rsidR="00D12016">
        <w:rPr>
          <w:rFonts w:ascii="Arial" w:eastAsia="Arial" w:hAnsi="Arial" w:cs="Arial"/>
          <w:color w:val="000000"/>
          <w:szCs w:val="22"/>
        </w:rPr>
        <w:t>a</w:t>
      </w:r>
      <w:r>
        <w:rPr>
          <w:rFonts w:ascii="Arial" w:eastAsia="Arial" w:hAnsi="Arial" w:cs="Arial"/>
          <w:color w:val="000000"/>
          <w:szCs w:val="22"/>
        </w:rPr>
        <w:t xml:space="preserve"> adeguare le seguenti </w:t>
      </w:r>
      <w:r w:rsidR="00160626">
        <w:rPr>
          <w:rFonts w:ascii="Arial" w:eastAsia="Arial" w:hAnsi="Arial" w:cs="Arial"/>
          <w:color w:val="000000"/>
          <w:szCs w:val="22"/>
        </w:rPr>
        <w:t>tariffe: …</w:t>
      </w:r>
    </w:p>
    <w:p w14:paraId="6EDFCB80" w14:textId="77777777" w:rsidR="001628B6" w:rsidRDefault="001628B6" w:rsidP="000F434D">
      <w:pPr>
        <w:pBdr>
          <w:top w:val="nil"/>
          <w:left w:val="nil"/>
          <w:bottom w:val="nil"/>
          <w:right w:val="nil"/>
          <w:between w:val="nil"/>
        </w:pBdr>
        <w:spacing w:line="240" w:lineRule="auto"/>
        <w:ind w:hanging="2"/>
        <w:rPr>
          <w:rFonts w:ascii="Arial" w:eastAsia="Arial" w:hAnsi="Arial" w:cs="Arial"/>
          <w:color w:val="000000"/>
          <w:szCs w:val="22"/>
        </w:rPr>
      </w:pPr>
    </w:p>
    <w:p w14:paraId="7318BD81" w14:textId="3F2704F9"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iCs/>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7</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Canone unico patrimoniale</w:t>
      </w:r>
      <w:r w:rsidR="000F434D" w:rsidRPr="00EE5694">
        <w:rPr>
          <w:rFonts w:ascii="Cambria" w:eastAsia="Cambria" w:hAnsi="Cambria" w:cs="Cambria"/>
          <w:b/>
          <w:iCs/>
          <w:color w:val="000000"/>
          <w:sz w:val="26"/>
          <w:szCs w:val="26"/>
        </w:rPr>
        <w:t xml:space="preserve"> </w:t>
      </w:r>
    </w:p>
    <w:p w14:paraId="6787022A" w14:textId="77777777" w:rsidR="000F434D" w:rsidRPr="004B4CFE" w:rsidRDefault="000F434D" w:rsidP="000F434D">
      <w:pPr>
        <w:widowControl w:val="0"/>
        <w:spacing w:after="120"/>
        <w:ind w:hanging="2"/>
        <w:rPr>
          <w:rFonts w:ascii="Arial" w:eastAsia="Arial" w:hAnsi="Arial" w:cs="Arial"/>
          <w:color w:val="auto"/>
          <w:szCs w:val="22"/>
        </w:rPr>
      </w:pPr>
      <w:r w:rsidRPr="004B4CFE">
        <w:rPr>
          <w:rFonts w:ascii="Arial" w:eastAsia="Arial" w:hAnsi="Arial" w:cs="Arial"/>
          <w:color w:val="auto"/>
          <w:szCs w:val="22"/>
        </w:rPr>
        <w:t>Il dettaglio delle previsioni dei proventi derivanti dal Canone Unico Patrimoniale è il seguente:</w:t>
      </w:r>
    </w:p>
    <w:p w14:paraId="416AF5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56" w:name="_heading=h.2zbgiuw" w:colFirst="0" w:colLast="0"/>
      <w:bookmarkEnd w:id="56"/>
    </w:p>
    <w:p w14:paraId="3F648C92" w14:textId="51A3C7B1" w:rsidR="000F434D" w:rsidRDefault="00EE569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B62E12">
        <w:rPr>
          <w:rFonts w:ascii="Arial" w:eastAsia="Arial" w:hAnsi="Arial" w:cs="Arial"/>
          <w:b/>
          <w:bCs/>
          <w:color w:val="000000"/>
          <w:szCs w:val="22"/>
        </w:rPr>
        <w:t>TABELLA 12</w:t>
      </w:r>
    </w:p>
    <w:p w14:paraId="177F3597" w14:textId="77777777" w:rsidR="00EF3301" w:rsidRDefault="00EF3301"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3E1581F" w14:textId="52708C9C" w:rsidR="00B47F10" w:rsidRPr="00123ADD" w:rsidRDefault="00B47F10" w:rsidP="00776DB2">
      <w:pPr>
        <w:pBdr>
          <w:top w:val="nil"/>
          <w:left w:val="nil"/>
          <w:bottom w:val="nil"/>
          <w:right w:val="nil"/>
          <w:between w:val="nil"/>
        </w:pBdr>
        <w:spacing w:line="240" w:lineRule="auto"/>
        <w:ind w:hanging="2"/>
        <w:rPr>
          <w:rFonts w:ascii="Arial" w:eastAsia="Arial" w:hAnsi="Arial" w:cs="Arial"/>
          <w:color w:val="00B0F0"/>
          <w:szCs w:val="22"/>
        </w:rPr>
      </w:pPr>
      <w:r w:rsidRPr="00776DB2">
        <w:rPr>
          <w:rFonts w:ascii="Arial" w:eastAsia="Arial" w:hAnsi="Arial" w:cs="Arial"/>
          <w:b/>
          <w:bCs/>
          <w:color w:val="00B0F0"/>
          <w:szCs w:val="22"/>
        </w:rPr>
        <w:t xml:space="preserve">N.B. </w:t>
      </w:r>
      <w:r w:rsidRPr="00B20671">
        <w:rPr>
          <w:rFonts w:ascii="Arial" w:eastAsia="Arial" w:hAnsi="Arial" w:cs="Arial"/>
          <w:b/>
          <w:bCs/>
          <w:i/>
          <w:iCs/>
          <w:color w:val="00B0F0"/>
          <w:szCs w:val="22"/>
        </w:rPr>
        <w:t>Rivalutazione ISTAT del Canone Unico</w:t>
      </w:r>
      <w:r w:rsidR="00776DB2" w:rsidRPr="00123ADD">
        <w:rPr>
          <w:rFonts w:ascii="Arial" w:eastAsia="Arial" w:hAnsi="Arial" w:cs="Arial"/>
          <w:i/>
          <w:iCs/>
          <w:color w:val="00B0F0"/>
          <w:szCs w:val="22"/>
        </w:rPr>
        <w:t xml:space="preserve"> – I</w:t>
      </w:r>
      <w:r w:rsidRPr="00123ADD">
        <w:rPr>
          <w:rFonts w:ascii="Arial" w:eastAsia="Arial" w:hAnsi="Arial" w:cs="Arial"/>
          <w:i/>
          <w:iCs/>
          <w:color w:val="00B0F0"/>
          <w:szCs w:val="22"/>
        </w:rPr>
        <w:t>l decreto-legge n. 95/2025 è intervenuto sul comma 817 della legge n. 160/2019 introducendo la possibilità per gli enti locali di aggiornare annualmente le tariffe del Canone Unico applicando la variazione dell’indice ISTAT dei prezzi al consumo rilevata al 31 dicembre dell’anno precedente.</w:t>
      </w:r>
    </w:p>
    <w:p w14:paraId="6A4FCF77" w14:textId="77777777" w:rsidR="00A13BEB" w:rsidRDefault="00A13BEB" w:rsidP="00EE5694">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0F718161" w14:textId="7819EBC1"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w:t>
      </w:r>
      <w:r w:rsidR="00EE5694" w:rsidRPr="00B62E12">
        <w:rPr>
          <w:rFonts w:ascii="Calibri" w:eastAsiaTheme="majorEastAsia" w:hAnsi="Calibri" w:cs="Times New Roman (Titoli CS)"/>
          <w:b/>
          <w:bCs/>
          <w:color w:val="C00000"/>
          <w:sz w:val="28"/>
          <w:szCs w:val="40"/>
        </w:rPr>
        <w:t>.1.</w:t>
      </w:r>
      <w:r w:rsidR="002C30C4">
        <w:rPr>
          <w:rFonts w:ascii="Calibri" w:eastAsiaTheme="majorEastAsia" w:hAnsi="Calibri" w:cs="Times New Roman (Titoli CS)"/>
          <w:b/>
          <w:bCs/>
          <w:color w:val="C00000"/>
          <w:sz w:val="28"/>
          <w:szCs w:val="40"/>
        </w:rPr>
        <w:t>8</w:t>
      </w:r>
      <w:r w:rsidR="00EE5694" w:rsidRPr="00B62E12">
        <w:rPr>
          <w:rFonts w:ascii="Calibri" w:eastAsiaTheme="majorEastAsia" w:hAnsi="Calibri" w:cs="Times New Roman (Titoli CS)"/>
          <w:b/>
          <w:bCs/>
          <w:color w:val="C00000"/>
          <w:sz w:val="28"/>
          <w:szCs w:val="40"/>
        </w:rPr>
        <w:t xml:space="preserve">. </w:t>
      </w:r>
      <w:r w:rsidR="000F434D" w:rsidRPr="00B62E12">
        <w:rPr>
          <w:rFonts w:ascii="Calibri" w:eastAsiaTheme="majorEastAsia" w:hAnsi="Calibri" w:cs="Times New Roman (Titoli CS)"/>
          <w:b/>
          <w:bCs/>
          <w:color w:val="C00000"/>
          <w:sz w:val="28"/>
          <w:szCs w:val="40"/>
        </w:rPr>
        <w:t>Entrate da titoli abitativi (p</w:t>
      </w:r>
      <w:r w:rsidR="000F434D" w:rsidRPr="00EE5694">
        <w:rPr>
          <w:rFonts w:ascii="Calibri" w:eastAsiaTheme="majorEastAsia" w:hAnsi="Calibri" w:cs="Times New Roman (Titoli CS)"/>
          <w:b/>
          <w:color w:val="C00000"/>
          <w:sz w:val="28"/>
          <w:szCs w:val="40"/>
        </w:rPr>
        <w:t>roventi da permessi da costruire) e relative sanzioni</w:t>
      </w:r>
    </w:p>
    <w:p w14:paraId="285669EA"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La previsione delle entrate da titoli abitativi e relative sanzioni è la seguente:</w:t>
      </w:r>
    </w:p>
    <w:p w14:paraId="6613907C" w14:textId="42F14C8C" w:rsidR="000F434D" w:rsidRPr="004B4CFE" w:rsidRDefault="00EE5694" w:rsidP="000F434D">
      <w:pPr>
        <w:ind w:hanging="2"/>
        <w:jc w:val="center"/>
        <w:rPr>
          <w:rFonts w:ascii="Arial" w:eastAsia="Arial" w:hAnsi="Arial" w:cs="Arial"/>
          <w:b/>
          <w:bCs/>
          <w:color w:val="auto"/>
          <w:szCs w:val="22"/>
        </w:rPr>
      </w:pPr>
      <w:r w:rsidRPr="004B4CFE">
        <w:rPr>
          <w:rFonts w:ascii="Arial" w:eastAsia="Arial" w:hAnsi="Arial" w:cs="Arial"/>
          <w:b/>
          <w:bCs/>
          <w:color w:val="auto"/>
          <w:szCs w:val="22"/>
        </w:rPr>
        <w:t>TABELLA 13</w:t>
      </w:r>
    </w:p>
    <w:p w14:paraId="573AF79F" w14:textId="77777777" w:rsidR="0029715C" w:rsidRPr="004B4CFE" w:rsidRDefault="000F434D" w:rsidP="0029715C">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iCs/>
          <w:color w:val="auto"/>
          <w:szCs w:val="22"/>
        </w:rPr>
        <w:t>rispetta/non rispetta</w:t>
      </w:r>
      <w:r w:rsidRPr="004B4CFE">
        <w:rPr>
          <w:rFonts w:ascii="Arial" w:eastAsia="Arial" w:hAnsi="Arial" w:cs="Arial"/>
          <w:color w:val="auto"/>
          <w:szCs w:val="22"/>
        </w:rPr>
        <w:t xml:space="preserve"> i vincoli di destinazione previsti dalla Legge n. 232/2016 art.1 comma 460 e smi e dalle successive norme derogatorie.</w:t>
      </w:r>
    </w:p>
    <w:p w14:paraId="2DA8A542" w14:textId="77777777" w:rsidR="0020781F" w:rsidRDefault="0020781F" w:rsidP="0029715C">
      <w:pPr>
        <w:ind w:hanging="2"/>
        <w:rPr>
          <w:rFonts w:ascii="Arial" w:eastAsia="Arial" w:hAnsi="Arial" w:cs="Arial"/>
          <w:szCs w:val="22"/>
        </w:rPr>
      </w:pPr>
    </w:p>
    <w:p w14:paraId="18936D96" w14:textId="633A2CF5" w:rsidR="00583C01" w:rsidRPr="00B96B45" w:rsidRDefault="00782786" w:rsidP="0006092D">
      <w:pPr>
        <w:outlineLvl w:val="0"/>
        <w:rPr>
          <w:rFonts w:ascii="Calibri" w:eastAsiaTheme="majorEastAsia" w:hAnsi="Calibri" w:cs="Times New Roman (Titoli CS)"/>
          <w:b/>
          <w:i/>
          <w:iCs/>
          <w:color w:val="C00000"/>
          <w:sz w:val="28"/>
          <w:szCs w:val="40"/>
        </w:rPr>
      </w:pPr>
      <w:bookmarkStart w:id="57" w:name="_Toc219808174"/>
      <w:r w:rsidRPr="00B96B45">
        <w:rPr>
          <w:rFonts w:ascii="Calibri" w:eastAsiaTheme="majorEastAsia" w:hAnsi="Calibri" w:cs="Times New Roman (Titoli CS)"/>
          <w:b/>
          <w:i/>
          <w:iCs/>
          <w:color w:val="C00000"/>
          <w:sz w:val="28"/>
          <w:szCs w:val="40"/>
        </w:rPr>
        <w:t>7</w:t>
      </w:r>
      <w:r w:rsidR="00583C01" w:rsidRPr="00B96B45">
        <w:rPr>
          <w:rFonts w:ascii="Calibri" w:eastAsiaTheme="majorEastAsia" w:hAnsi="Calibri" w:cs="Times New Roman (Titoli CS)"/>
          <w:b/>
          <w:i/>
          <w:iCs/>
          <w:color w:val="C00000"/>
          <w:sz w:val="28"/>
          <w:szCs w:val="40"/>
        </w:rPr>
        <w:t>.2 S</w:t>
      </w:r>
      <w:r w:rsidR="00452126">
        <w:rPr>
          <w:rFonts w:ascii="Calibri" w:eastAsiaTheme="majorEastAsia" w:hAnsi="Calibri" w:cs="Times New Roman (Titoli CS)"/>
          <w:b/>
          <w:i/>
          <w:iCs/>
          <w:color w:val="C00000"/>
          <w:sz w:val="28"/>
          <w:szCs w:val="40"/>
        </w:rPr>
        <w:t>pese per titoli e macro</w:t>
      </w:r>
      <w:r w:rsidR="00830D93">
        <w:rPr>
          <w:rFonts w:ascii="Calibri" w:eastAsiaTheme="majorEastAsia" w:hAnsi="Calibri" w:cs="Times New Roman (Titoli CS)"/>
          <w:b/>
          <w:i/>
          <w:iCs/>
          <w:color w:val="C00000"/>
          <w:sz w:val="28"/>
          <w:szCs w:val="40"/>
        </w:rPr>
        <w:t xml:space="preserve"> </w:t>
      </w:r>
      <w:r w:rsidR="00452126">
        <w:rPr>
          <w:rFonts w:ascii="Calibri" w:eastAsiaTheme="majorEastAsia" w:hAnsi="Calibri" w:cs="Times New Roman (Titoli CS)"/>
          <w:b/>
          <w:i/>
          <w:iCs/>
          <w:color w:val="C00000"/>
          <w:sz w:val="28"/>
          <w:szCs w:val="40"/>
        </w:rPr>
        <w:t>aggregati</w:t>
      </w:r>
      <w:bookmarkEnd w:id="57"/>
    </w:p>
    <w:p w14:paraId="0970C35F" w14:textId="3C1414A3" w:rsidR="002A0A97" w:rsidRDefault="002A0A97" w:rsidP="002A0A97">
      <w:pPr>
        <w:ind w:hanging="2"/>
        <w:rPr>
          <w:rFonts w:ascii="Arial" w:eastAsia="Arial" w:hAnsi="Arial" w:cs="Arial"/>
          <w:color w:val="000000"/>
          <w:szCs w:val="22"/>
        </w:rPr>
      </w:pPr>
      <w:r w:rsidRPr="002A0A97">
        <w:rPr>
          <w:rFonts w:ascii="Arial" w:eastAsia="Arial" w:hAnsi="Arial" w:cs="Arial"/>
          <w:color w:val="000000"/>
          <w:szCs w:val="22"/>
        </w:rPr>
        <w:t xml:space="preserve">L’Organo di revisione ha verificato che le previsioni </w:t>
      </w:r>
      <w:r w:rsidRPr="00111DCA">
        <w:rPr>
          <w:rFonts w:ascii="Arial" w:eastAsia="Arial" w:hAnsi="Arial" w:cs="Arial"/>
          <w:b/>
          <w:bCs/>
          <w:color w:val="000000"/>
          <w:szCs w:val="22"/>
        </w:rPr>
        <w:t>sono/non sono</w:t>
      </w:r>
      <w:r w:rsidRPr="002A0A97">
        <w:rPr>
          <w:rFonts w:ascii="Arial" w:eastAsia="Arial" w:hAnsi="Arial" w:cs="Arial"/>
          <w:color w:val="000000"/>
          <w:szCs w:val="22"/>
        </w:rPr>
        <w:t xml:space="preserve"> costruite </w:t>
      </w:r>
      <w:r w:rsidRPr="00111DCA">
        <w:rPr>
          <w:rFonts w:ascii="Arial" w:eastAsia="Arial" w:hAnsi="Arial" w:cs="Arial"/>
          <w:b/>
          <w:bCs/>
          <w:color w:val="000000"/>
          <w:szCs w:val="22"/>
        </w:rPr>
        <w:t>tenendo/non tenendo</w:t>
      </w:r>
      <w:r w:rsidRPr="002A0A97">
        <w:rPr>
          <w:rFonts w:ascii="Arial" w:eastAsia="Arial" w:hAnsi="Arial" w:cs="Arial"/>
          <w:color w:val="000000"/>
          <w:szCs w:val="22"/>
        </w:rPr>
        <w:t xml:space="preserve"> conto del tasso di inflazione programmata.</w:t>
      </w:r>
    </w:p>
    <w:p w14:paraId="7E78F75B" w14:textId="6EF2590F"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degli esercizi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per macro-aggregati di spesa corrente confrontate con la spesa risultante dalla previsione definitiva 202</w:t>
      </w:r>
      <w:r w:rsidR="00DB2D30">
        <w:rPr>
          <w:rFonts w:ascii="Arial" w:eastAsia="Arial" w:hAnsi="Arial" w:cs="Arial"/>
          <w:color w:val="000000"/>
          <w:szCs w:val="22"/>
        </w:rPr>
        <w:t>5</w:t>
      </w:r>
      <w:r>
        <w:rPr>
          <w:rFonts w:ascii="Arial" w:eastAsia="Arial" w:hAnsi="Arial" w:cs="Arial"/>
          <w:color w:val="000000"/>
          <w:szCs w:val="22"/>
        </w:rPr>
        <w:t xml:space="preserve"> è la seguente:</w:t>
      </w:r>
    </w:p>
    <w:p w14:paraId="4BC6C8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bookmarkStart w:id="58" w:name="_heading=h.2dlolyb" w:colFirst="0" w:colLast="0"/>
      <w:bookmarkEnd w:id="58"/>
      <w:r>
        <w:rPr>
          <w:rFonts w:ascii="Arial" w:eastAsia="Arial" w:hAnsi="Arial" w:cs="Arial"/>
          <w:i/>
          <w:color w:val="000000"/>
          <w:szCs w:val="22"/>
          <w:u w:val="single"/>
        </w:rPr>
        <w:t>Sviluppo previsione per aggregati di spesa:</w:t>
      </w:r>
    </w:p>
    <w:p w14:paraId="23F4DF6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FF"/>
          <w:sz w:val="18"/>
          <w:szCs w:val="18"/>
        </w:rPr>
      </w:pPr>
    </w:p>
    <w:p w14:paraId="042A827B" w14:textId="1A818FCA" w:rsidR="000F434D" w:rsidRPr="00E623BE" w:rsidRDefault="002A0A97" w:rsidP="000F434D">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623BE">
        <w:rPr>
          <w:rFonts w:ascii="Arial" w:hAnsi="Arial" w:cs="Arial"/>
          <w:b/>
          <w:bCs/>
          <w:color w:val="000000"/>
          <w:szCs w:val="22"/>
        </w:rPr>
        <w:t>TABELLA 14</w:t>
      </w:r>
    </w:p>
    <w:p w14:paraId="39DBFB8F" w14:textId="77777777" w:rsidR="005B1FBB" w:rsidRDefault="005B1FBB"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423965CB" w14:textId="0E1A127C" w:rsidR="000F434D" w:rsidRDefault="00BC1BB3" w:rsidP="000F434D">
      <w:pPr>
        <w:pBdr>
          <w:top w:val="nil"/>
          <w:left w:val="nil"/>
          <w:bottom w:val="nil"/>
          <w:right w:val="nil"/>
          <w:between w:val="nil"/>
        </w:pBdr>
        <w:spacing w:line="240" w:lineRule="auto"/>
        <w:ind w:left="1" w:hanging="3"/>
        <w:rPr>
          <w:rFonts w:ascii="Cambria" w:eastAsia="Cambria" w:hAnsi="Cambria" w:cs="Cambria"/>
          <w:b/>
          <w:i/>
          <w:color w:val="000000"/>
          <w:sz w:val="26"/>
          <w:szCs w:val="26"/>
        </w:rPr>
      </w:pPr>
      <w:r>
        <w:rPr>
          <w:rFonts w:ascii="Calibri" w:eastAsiaTheme="majorEastAsia" w:hAnsi="Calibri" w:cs="Times New Roman (Titoli CS)"/>
          <w:b/>
          <w:color w:val="C00000"/>
          <w:sz w:val="28"/>
          <w:szCs w:val="40"/>
        </w:rPr>
        <w:lastRenderedPageBreak/>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2.1</w:t>
      </w:r>
      <w:r w:rsidR="002A0A97" w:rsidRPr="00B37E3E">
        <w:rPr>
          <w:rFonts w:ascii="Calibri" w:eastAsiaTheme="majorEastAsia" w:hAnsi="Calibri" w:cs="Times New Roman (Titoli CS)"/>
          <w:b/>
          <w:color w:val="C00000"/>
          <w:sz w:val="28"/>
          <w:szCs w:val="40"/>
        </w:rPr>
        <w:t xml:space="preserve"> </w:t>
      </w:r>
      <w:r w:rsidR="002A0A97">
        <w:rPr>
          <w:rFonts w:ascii="Calibri" w:eastAsiaTheme="majorEastAsia" w:hAnsi="Calibri" w:cs="Times New Roman (Titoli CS)"/>
          <w:b/>
          <w:color w:val="C00000"/>
          <w:sz w:val="28"/>
          <w:szCs w:val="40"/>
        </w:rPr>
        <w:t>Spese di personale</w:t>
      </w:r>
    </w:p>
    <w:p w14:paraId="2F02F89C" w14:textId="3B30884C"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lo stanziamento pluriennale del bilancio di previsione per spese di personale </w:t>
      </w:r>
      <w:r w:rsidRPr="004B4CFE">
        <w:rPr>
          <w:rFonts w:ascii="Arial" w:eastAsia="Arial" w:hAnsi="Arial" w:cs="Arial"/>
          <w:b/>
          <w:color w:val="auto"/>
          <w:szCs w:val="22"/>
        </w:rPr>
        <w:t>è contenuto/non è contenuto</w:t>
      </w:r>
      <w:r w:rsidRPr="004B4CFE">
        <w:rPr>
          <w:rFonts w:ascii="Arial" w:eastAsia="Arial" w:hAnsi="Arial" w:cs="Arial"/>
          <w:color w:val="auto"/>
          <w:szCs w:val="22"/>
        </w:rPr>
        <w:t xml:space="preserve"> entro i limiti del valore soglia della fascia demografica di appartenenza, ai sensi dell’art. 33, co. 2 del </w:t>
      </w:r>
      <w:r w:rsidR="00160626">
        <w:rPr>
          <w:rFonts w:ascii="Arial" w:eastAsia="Arial" w:hAnsi="Arial" w:cs="Arial"/>
          <w:color w:val="auto"/>
          <w:szCs w:val="22"/>
        </w:rPr>
        <w:t>D</w:t>
      </w:r>
      <w:r w:rsidRPr="004B4CFE">
        <w:rPr>
          <w:rFonts w:ascii="Arial" w:eastAsia="Arial" w:hAnsi="Arial" w:cs="Arial"/>
          <w:color w:val="auto"/>
          <w:szCs w:val="22"/>
        </w:rPr>
        <w:t>.l. 30 aprile 2019, n. 34, convertito dalla legge 28 giugno 2019, n. 58.</w:t>
      </w:r>
    </w:p>
    <w:p w14:paraId="200846AD" w14:textId="77777777" w:rsidR="000F434D" w:rsidRPr="00687D94" w:rsidRDefault="000F434D" w:rsidP="000F434D">
      <w:pPr>
        <w:tabs>
          <w:tab w:val="left" w:pos="720"/>
        </w:tabs>
        <w:spacing w:before="240" w:line="276" w:lineRule="auto"/>
        <w:ind w:hanging="2"/>
        <w:rPr>
          <w:rFonts w:ascii="Arial" w:eastAsia="Arial" w:hAnsi="Arial" w:cs="Arial"/>
          <w:bCs/>
          <w:i/>
          <w:color w:val="00B0F0"/>
          <w:szCs w:val="22"/>
        </w:rPr>
      </w:pPr>
      <w:r w:rsidRPr="00687D94">
        <w:rPr>
          <w:rFonts w:ascii="Arial" w:eastAsia="Arial" w:hAnsi="Arial" w:cs="Arial"/>
          <w:bCs/>
          <w:i/>
          <w:color w:val="00B0F0"/>
          <w:szCs w:val="22"/>
        </w:rPr>
        <w:t>(in caso di risposta affermativa)</w:t>
      </w:r>
    </w:p>
    <w:p w14:paraId="788C11B1" w14:textId="4DD6C87B"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bCs/>
          <w:iCs/>
          <w:color w:val="auto"/>
          <w:szCs w:val="22"/>
        </w:rPr>
        <w:t>L</w:t>
      </w:r>
      <w:r w:rsidRPr="004B4CFE">
        <w:rPr>
          <w:rFonts w:ascii="Arial" w:eastAsia="Arial" w:hAnsi="Arial" w:cs="Arial"/>
          <w:color w:val="auto"/>
          <w:szCs w:val="22"/>
        </w:rPr>
        <w:t xml:space="preserve">’Ente, laddove ne ricorrano i presupposti, </w:t>
      </w:r>
      <w:r w:rsidRPr="004B4CFE">
        <w:rPr>
          <w:rFonts w:ascii="Arial" w:eastAsia="Arial" w:hAnsi="Arial" w:cs="Arial"/>
          <w:b/>
          <w:color w:val="auto"/>
          <w:szCs w:val="22"/>
        </w:rPr>
        <w:t>ha previsto/non ha previsto</w:t>
      </w:r>
      <w:r w:rsidRPr="004B4CFE">
        <w:rPr>
          <w:rFonts w:ascii="Arial" w:eastAsia="Arial" w:hAnsi="Arial" w:cs="Arial"/>
          <w:color w:val="auto"/>
          <w:szCs w:val="22"/>
        </w:rPr>
        <w:t xml:space="preserve"> incrementi della spesa di personale nel rispetto delle percentuali individuate dall’art. 5 del decreto 17 marzo 2020 del Ministro per la Pubblica Amministrazione di concerto con il Ministero dell’Economia e delle Finanze e con il Ministro dell’Interno, attuativo dell’art. 33, co. 2 del </w:t>
      </w:r>
      <w:r w:rsidR="00160626">
        <w:rPr>
          <w:rFonts w:ascii="Arial" w:eastAsia="Arial" w:hAnsi="Arial" w:cs="Arial"/>
          <w:color w:val="auto"/>
          <w:szCs w:val="22"/>
        </w:rPr>
        <w:t>D</w:t>
      </w:r>
      <w:r w:rsidRPr="004B4CFE">
        <w:rPr>
          <w:rFonts w:ascii="Arial" w:eastAsia="Arial" w:hAnsi="Arial" w:cs="Arial"/>
          <w:color w:val="auto"/>
          <w:szCs w:val="22"/>
        </w:rPr>
        <w:t>.l. 34/2020).</w:t>
      </w:r>
    </w:p>
    <w:p w14:paraId="308FB201" w14:textId="032E1D36"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In tale caso, l’Organo di revisione</w:t>
      </w:r>
      <w:r w:rsidR="003426AB" w:rsidRPr="004B4CFE">
        <w:rPr>
          <w:rFonts w:ascii="Arial" w:eastAsia="Arial" w:hAnsi="Arial" w:cs="Arial"/>
          <w:color w:val="auto"/>
          <w:szCs w:val="22"/>
        </w:rPr>
        <w:t>, ove ne ricorrano le condizioni,</w:t>
      </w:r>
      <w:r w:rsidRPr="004B4CFE">
        <w:rPr>
          <w:rFonts w:ascii="Arial" w:eastAsia="Arial" w:hAnsi="Arial" w:cs="Arial"/>
          <w:color w:val="auto"/>
          <w:szCs w:val="22"/>
        </w:rPr>
        <w:t xml:space="preserve"> </w:t>
      </w:r>
      <w:r w:rsidRPr="004B4CFE">
        <w:rPr>
          <w:rFonts w:ascii="Arial" w:eastAsia="Arial" w:hAnsi="Arial" w:cs="Arial"/>
          <w:b/>
          <w:color w:val="auto"/>
          <w:szCs w:val="22"/>
        </w:rPr>
        <w:t>ha effettuato/non ha effettuato</w:t>
      </w:r>
      <w:r w:rsidRPr="004B4CFE">
        <w:rPr>
          <w:rFonts w:ascii="Arial" w:eastAsia="Arial" w:hAnsi="Arial" w:cs="Arial"/>
          <w:color w:val="auto"/>
          <w:szCs w:val="22"/>
        </w:rPr>
        <w:t xml:space="preserve"> l’asseverazione dell’equilibrio pluriennale di bilancio tenuto conto delle indicazioni espresse dalla Corte dei conti, sezioni Riunite in sede giurisdizionale, sentenza 7/2022.</w:t>
      </w:r>
    </w:p>
    <w:p w14:paraId="13ACB033"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color w:val="auto"/>
          <w:szCs w:val="22"/>
        </w:rPr>
        <w:t xml:space="preserve">in caso di risposta negativa e con riferimento alla sola specifica ipotesi di superamento del valore soglia per fascia demografica, individuato dalla tabella 3 di cui all’art. 6 del decreto attuativo) </w:t>
      </w: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abbia/non abbia</w:t>
      </w:r>
      <w:r w:rsidRPr="004B4CFE">
        <w:rPr>
          <w:rFonts w:ascii="Arial" w:eastAsia="Arial" w:hAnsi="Arial" w:cs="Arial"/>
          <w:color w:val="auto"/>
          <w:szCs w:val="22"/>
        </w:rPr>
        <w:t xml:space="preserve"> impostato l’obbligatorio percorso di graduale riduzione annuale del rapporto:</w:t>
      </w:r>
    </w:p>
    <w:p w14:paraId="62F05437"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delle entrate</w:t>
      </w:r>
    </w:p>
    <w:p w14:paraId="38DBAAF5"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della spesa di personale</w:t>
      </w:r>
    </w:p>
    <w:p w14:paraId="5E3A3ED6"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applicando un turn over inferiore al 100%</w:t>
      </w:r>
    </w:p>
    <w:p w14:paraId="53C41D8B" w14:textId="77777777" w:rsidR="00AF7672" w:rsidRDefault="00AF7672" w:rsidP="000F434D">
      <w:pPr>
        <w:ind w:hanging="2"/>
        <w:rPr>
          <w:rFonts w:ascii="Arial" w:eastAsia="Arial" w:hAnsi="Arial" w:cs="Arial"/>
          <w:color w:val="auto"/>
          <w:szCs w:val="22"/>
        </w:rPr>
      </w:pPr>
    </w:p>
    <w:p w14:paraId="64809FA9" w14:textId="1609E7D3"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spesa pari a </w:t>
      </w:r>
      <w:r w:rsidR="00D86288">
        <w:rPr>
          <w:rFonts w:ascii="Arial" w:eastAsia="Arial" w:hAnsi="Arial" w:cs="Arial"/>
          <w:color w:val="auto"/>
          <w:szCs w:val="22"/>
        </w:rPr>
        <w:t>e</w:t>
      </w:r>
      <w:r w:rsidRPr="004B4CFE">
        <w:rPr>
          <w:rFonts w:ascii="Arial" w:eastAsia="Arial" w:hAnsi="Arial" w:cs="Arial"/>
          <w:color w:val="auto"/>
          <w:szCs w:val="22"/>
        </w:rPr>
        <w:t>uro….. relativa al macro-aggregato “redditi da lavoro dipendente” prevista per gli esercizi 202</w:t>
      </w:r>
      <w:r w:rsidR="00DB2D30">
        <w:rPr>
          <w:rFonts w:ascii="Arial" w:eastAsia="Arial" w:hAnsi="Arial" w:cs="Arial"/>
          <w:color w:val="auto"/>
          <w:szCs w:val="22"/>
        </w:rPr>
        <w:t>6</w:t>
      </w:r>
      <w:r w:rsidRPr="004B4CFE">
        <w:rPr>
          <w:rFonts w:ascii="Arial" w:eastAsia="Arial" w:hAnsi="Arial" w:cs="Arial"/>
          <w:color w:val="auto"/>
          <w:szCs w:val="22"/>
        </w:rPr>
        <w:t>-202</w:t>
      </w:r>
      <w:r w:rsidR="00DB2D30">
        <w:rPr>
          <w:rFonts w:ascii="Arial" w:eastAsia="Arial" w:hAnsi="Arial" w:cs="Arial"/>
          <w:color w:val="auto"/>
          <w:szCs w:val="22"/>
        </w:rPr>
        <w:t>8</w:t>
      </w:r>
      <w:r w:rsidRPr="004B4CFE">
        <w:rPr>
          <w:rFonts w:ascii="Arial" w:eastAsia="Arial" w:hAnsi="Arial" w:cs="Arial"/>
          <w:color w:val="auto"/>
          <w:szCs w:val="22"/>
        </w:rPr>
        <w:t xml:space="preserve">, </w:t>
      </w:r>
      <w:r w:rsidRPr="004B4CFE">
        <w:rPr>
          <w:rFonts w:ascii="Arial" w:eastAsia="Arial" w:hAnsi="Arial" w:cs="Arial"/>
          <w:b/>
          <w:bCs/>
          <w:color w:val="auto"/>
          <w:szCs w:val="22"/>
        </w:rPr>
        <w:t>tiene conto</w:t>
      </w:r>
      <w:r w:rsidR="00111DCA" w:rsidRPr="004B4CFE">
        <w:rPr>
          <w:rFonts w:ascii="Arial" w:eastAsia="Arial" w:hAnsi="Arial" w:cs="Arial"/>
          <w:b/>
          <w:bCs/>
          <w:color w:val="auto"/>
          <w:szCs w:val="22"/>
        </w:rPr>
        <w:t>/non tiene conto</w:t>
      </w:r>
      <w:r w:rsidRPr="004B4CFE">
        <w:rPr>
          <w:rFonts w:ascii="Arial" w:eastAsia="Arial" w:hAnsi="Arial" w:cs="Arial"/>
          <w:color w:val="auto"/>
          <w:szCs w:val="22"/>
        </w:rPr>
        <w:t xml:space="preserve"> d</w:t>
      </w:r>
      <w:r w:rsidR="00635C4D" w:rsidRPr="004B4CFE">
        <w:rPr>
          <w:rFonts w:ascii="Arial" w:eastAsia="Arial" w:hAnsi="Arial" w:cs="Arial"/>
          <w:color w:val="auto"/>
          <w:szCs w:val="22"/>
        </w:rPr>
        <w:t>i quanto indicato nel DUP e</w:t>
      </w:r>
      <w:r w:rsidR="00111DCA" w:rsidRPr="004B4CFE">
        <w:rPr>
          <w:rFonts w:ascii="Arial" w:eastAsia="Arial" w:hAnsi="Arial" w:cs="Arial"/>
          <w:color w:val="auto"/>
          <w:szCs w:val="22"/>
        </w:rPr>
        <w:t>d</w:t>
      </w:r>
      <w:r w:rsidR="00635C4D" w:rsidRPr="004B4CFE">
        <w:rPr>
          <w:rFonts w:ascii="Arial" w:eastAsia="Arial" w:hAnsi="Arial" w:cs="Arial"/>
          <w:color w:val="auto"/>
          <w:szCs w:val="22"/>
        </w:rPr>
        <w:t xml:space="preserve"> </w:t>
      </w:r>
      <w:r w:rsidR="00111DCA" w:rsidRPr="004B4CFE">
        <w:rPr>
          <w:rFonts w:ascii="Arial" w:eastAsia="Arial" w:hAnsi="Arial" w:cs="Arial"/>
          <w:b/>
          <w:bCs/>
          <w:color w:val="auto"/>
          <w:szCs w:val="22"/>
        </w:rPr>
        <w:t xml:space="preserve">è </w:t>
      </w:r>
      <w:r w:rsidRPr="004B4CFE">
        <w:rPr>
          <w:rFonts w:ascii="Arial" w:eastAsia="Arial" w:hAnsi="Arial" w:cs="Arial"/>
          <w:b/>
          <w:bCs/>
          <w:color w:val="auto"/>
          <w:szCs w:val="22"/>
        </w:rPr>
        <w:t>coerente</w:t>
      </w:r>
      <w:r w:rsidR="00111DCA" w:rsidRPr="004B4CFE">
        <w:rPr>
          <w:rFonts w:ascii="Arial" w:eastAsia="Arial" w:hAnsi="Arial" w:cs="Arial"/>
          <w:b/>
          <w:bCs/>
          <w:color w:val="auto"/>
          <w:szCs w:val="22"/>
        </w:rPr>
        <w:t>/non è coerente</w:t>
      </w:r>
      <w:r w:rsidRPr="004B4CFE">
        <w:rPr>
          <w:rFonts w:ascii="Arial" w:eastAsia="Arial" w:hAnsi="Arial" w:cs="Arial"/>
          <w:color w:val="auto"/>
          <w:szCs w:val="22"/>
        </w:rPr>
        <w:t>:</w:t>
      </w:r>
    </w:p>
    <w:p w14:paraId="3579F3D5" w14:textId="43D5ECB4"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w:t>
      </w:r>
      <w:r w:rsidR="00A002C7" w:rsidRPr="004B4CFE">
        <w:rPr>
          <w:rFonts w:ascii="Arial" w:eastAsia="Arial" w:hAnsi="Arial" w:cs="Arial"/>
          <w:color w:val="auto"/>
          <w:szCs w:val="22"/>
        </w:rPr>
        <w:t>il limite</w:t>
      </w:r>
      <w:r w:rsidRPr="004B4CFE">
        <w:rPr>
          <w:rFonts w:ascii="Arial" w:eastAsia="Arial" w:hAnsi="Arial" w:cs="Arial"/>
          <w:color w:val="auto"/>
          <w:szCs w:val="22"/>
        </w:rPr>
        <w:t xml:space="preserve"> della spesa di personale disposto dall’art. 1 comma 557 della Legge </w:t>
      </w:r>
      <w:r w:rsidR="00D86288">
        <w:rPr>
          <w:rFonts w:ascii="Arial" w:eastAsia="Arial" w:hAnsi="Arial" w:cs="Arial"/>
          <w:color w:val="auto"/>
          <w:szCs w:val="22"/>
        </w:rPr>
        <w:t>n.</w:t>
      </w:r>
      <w:r w:rsidRPr="004B4CFE">
        <w:rPr>
          <w:rFonts w:ascii="Arial" w:eastAsia="Arial" w:hAnsi="Arial" w:cs="Arial"/>
          <w:color w:val="auto"/>
          <w:szCs w:val="22"/>
        </w:rPr>
        <w:t xml:space="preserve">296/2006 rispetto al valore medio del triennio 2011/2013,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delle componenti escluse (tra cui la spesa conseguente ai rinnovi contrattuali), come risultante da</w:t>
      </w:r>
      <w:r w:rsidR="00160626">
        <w:rPr>
          <w:rFonts w:ascii="Arial" w:eastAsia="Arial" w:hAnsi="Arial" w:cs="Arial"/>
          <w:color w:val="auto"/>
          <w:szCs w:val="22"/>
        </w:rPr>
        <w:t xml:space="preserve"> </w:t>
      </w:r>
      <w:r w:rsidRPr="004B4CFE">
        <w:rPr>
          <w:rFonts w:ascii="Arial" w:eastAsia="Arial" w:hAnsi="Arial" w:cs="Arial"/>
          <w:color w:val="auto"/>
          <w:szCs w:val="22"/>
        </w:rPr>
        <w:t>……..;</w:t>
      </w:r>
      <w:r>
        <w:rPr>
          <w:rFonts w:ascii="Arial" w:eastAsia="Arial" w:hAnsi="Arial" w:cs="Arial"/>
          <w:szCs w:val="22"/>
        </w:rPr>
        <w:t xml:space="preserve">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erano soggetti al patto di stabilità interno</w:t>
      </w:r>
      <w:r w:rsidRPr="00687D94">
        <w:rPr>
          <w:rFonts w:ascii="Arial" w:eastAsia="Arial" w:hAnsi="Arial" w:cs="Arial"/>
          <w:color w:val="00B0F0"/>
          <w:szCs w:val="22"/>
        </w:rPr>
        <w:t>)</w:t>
      </w:r>
    </w:p>
    <w:p w14:paraId="228BF943" w14:textId="413DEE10"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l’obbligo di contenimento della spesa di personale disposto dall’art. 1 comma 562 della Legge 296/2006 rispetto al valore 2008,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dei rinnovi contrattuali, come risultante da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non erano assoggettati al patto di stabilità interno</w:t>
      </w:r>
      <w:r w:rsidRPr="00687D94">
        <w:rPr>
          <w:rFonts w:ascii="Arial" w:eastAsia="Arial" w:hAnsi="Arial" w:cs="Arial"/>
          <w:color w:val="00B0F0"/>
          <w:szCs w:val="22"/>
        </w:rPr>
        <w:t>);</w:t>
      </w:r>
    </w:p>
    <w:p w14:paraId="6EE652BC" w14:textId="77777777" w:rsidR="000F434D" w:rsidRPr="004B4CFE"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auto"/>
          <w:szCs w:val="22"/>
        </w:rPr>
      </w:pPr>
      <w:r w:rsidRPr="004B4CFE">
        <w:rPr>
          <w:rFonts w:ascii="Arial" w:eastAsia="Arial" w:hAnsi="Arial" w:cs="Arial"/>
          <w:color w:val="auto"/>
          <w:szCs w:val="22"/>
        </w:rPr>
        <w:t>dei vincoli disposti dall’art. 9, comma 28 del D.L. 78/2010 sulla spesa per personale a tempo determinato, con convenzioni o con contratti di collaborazione coordinata e continuativa che fanno riferimento alla corrispondente spesa dell’anno 2009 di euro ……………….., come risultante da………</w:t>
      </w:r>
    </w:p>
    <w:p w14:paraId="5C31F565" w14:textId="77777777" w:rsidR="000F434D" w:rsidRDefault="000F434D" w:rsidP="000F434D">
      <w:pPr>
        <w:ind w:hanging="2"/>
        <w:rPr>
          <w:rFonts w:ascii="Arial" w:eastAsia="Arial" w:hAnsi="Arial" w:cs="Arial"/>
          <w:i/>
          <w:iCs/>
          <w:color w:val="00B0F0"/>
          <w:szCs w:val="22"/>
        </w:rPr>
      </w:pPr>
      <w:r w:rsidRPr="00687D94">
        <w:rPr>
          <w:rFonts w:ascii="Arial" w:eastAsia="Arial" w:hAnsi="Arial" w:cs="Arial"/>
          <w:i/>
          <w:iCs/>
          <w:color w:val="00B0F0"/>
          <w:szCs w:val="22"/>
        </w:rPr>
        <w:t>(In caso di non rispetto dei limiti fornire spiegazioni)</w:t>
      </w:r>
    </w:p>
    <w:p w14:paraId="4CB49074" w14:textId="3CF91674" w:rsidR="000F434D" w:rsidRPr="004B4CFE" w:rsidRDefault="000F434D" w:rsidP="000F434D">
      <w:pPr>
        <w:ind w:hanging="2"/>
        <w:rPr>
          <w:rFonts w:ascii="Arial" w:eastAsia="Arial" w:hAnsi="Arial" w:cs="Arial"/>
          <w:color w:val="auto"/>
          <w:szCs w:val="22"/>
        </w:rPr>
      </w:pPr>
      <w:bookmarkStart w:id="59" w:name="_heading=h.3cqmetx" w:colFirst="0" w:colLast="0"/>
      <w:bookmarkEnd w:id="59"/>
      <w:r w:rsidRPr="004B4CFE">
        <w:rPr>
          <w:rFonts w:ascii="Arial" w:eastAsia="Arial" w:hAnsi="Arial" w:cs="Arial"/>
          <w:color w:val="auto"/>
          <w:szCs w:val="22"/>
        </w:rPr>
        <w:lastRenderedPageBreak/>
        <w:t xml:space="preserve">L’Organo di revisione ha verificato che l’Ente </w:t>
      </w:r>
      <w:r w:rsidRPr="004B4CFE">
        <w:rPr>
          <w:rFonts w:ascii="Arial" w:eastAsia="Arial" w:hAnsi="Arial" w:cs="Arial"/>
          <w:b/>
          <w:bCs/>
          <w:color w:val="auto"/>
          <w:szCs w:val="22"/>
        </w:rPr>
        <w:t>ha/non ha predisposto</w:t>
      </w:r>
      <w:r w:rsidRPr="004B4CFE">
        <w:rPr>
          <w:rFonts w:ascii="Arial" w:eastAsia="Arial" w:hAnsi="Arial" w:cs="Arial"/>
          <w:color w:val="auto"/>
          <w:szCs w:val="22"/>
        </w:rPr>
        <w:t xml:space="preserve"> la pianificazione del fabbisogno del personale 20</w:t>
      </w:r>
      <w:r w:rsidR="00DB2D30">
        <w:rPr>
          <w:rFonts w:ascii="Arial" w:eastAsia="Arial" w:hAnsi="Arial" w:cs="Arial"/>
          <w:color w:val="auto"/>
          <w:szCs w:val="22"/>
        </w:rPr>
        <w:t>26</w:t>
      </w:r>
      <w:r w:rsidRPr="004B4CFE">
        <w:rPr>
          <w:rFonts w:ascii="Arial" w:eastAsia="Arial" w:hAnsi="Arial" w:cs="Arial"/>
          <w:color w:val="auto"/>
          <w:szCs w:val="22"/>
        </w:rPr>
        <w:t>-202</w:t>
      </w:r>
      <w:r w:rsidR="00DB2D30">
        <w:rPr>
          <w:rFonts w:ascii="Arial" w:eastAsia="Arial" w:hAnsi="Arial" w:cs="Arial"/>
          <w:color w:val="auto"/>
          <w:szCs w:val="22"/>
        </w:rPr>
        <w:t>8</w:t>
      </w:r>
      <w:r w:rsidRPr="004B4CFE">
        <w:rPr>
          <w:rFonts w:ascii="Arial" w:eastAsia="Arial" w:hAnsi="Arial" w:cs="Arial"/>
          <w:color w:val="auto"/>
          <w:szCs w:val="22"/>
        </w:rPr>
        <w:t xml:space="preserve"> in maniera coerente ai progetti del PNRR.</w:t>
      </w:r>
    </w:p>
    <w:p w14:paraId="03A1D423" w14:textId="77777777" w:rsidR="009B653F" w:rsidRDefault="000F434D" w:rsidP="009B653F">
      <w:pPr>
        <w:ind w:hanging="2"/>
        <w:rPr>
          <w:rFonts w:ascii="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ha verificato</w:t>
      </w:r>
      <w:r w:rsidRPr="004B4CFE">
        <w:rPr>
          <w:rFonts w:ascii="Arial" w:eastAsia="Arial" w:hAnsi="Arial" w:cs="Arial"/>
          <w:b/>
          <w:color w:val="auto"/>
          <w:szCs w:val="22"/>
        </w:rPr>
        <w:t xml:space="preserve"> </w:t>
      </w:r>
      <w:r w:rsidRPr="004B4CFE">
        <w:rPr>
          <w:rFonts w:ascii="Arial" w:hAnsi="Arial" w:cs="Arial"/>
          <w:color w:val="auto"/>
          <w:szCs w:val="22"/>
        </w:rPr>
        <w:t xml:space="preserve">che l’Ente </w:t>
      </w:r>
      <w:r w:rsidRPr="004B4CFE">
        <w:rPr>
          <w:rFonts w:ascii="Arial" w:hAnsi="Arial" w:cs="Arial"/>
          <w:b/>
          <w:color w:val="auto"/>
          <w:szCs w:val="22"/>
        </w:rPr>
        <w:t xml:space="preserve">ha/non ha </w:t>
      </w:r>
      <w:r w:rsidRPr="004B4CFE">
        <w:rPr>
          <w:rFonts w:ascii="Arial" w:hAnsi="Arial" w:cs="Arial"/>
          <w:color w:val="auto"/>
          <w:szCs w:val="22"/>
        </w:rPr>
        <w:t xml:space="preserve">in servizio o </w:t>
      </w:r>
      <w:r w:rsidRPr="004B4CFE">
        <w:rPr>
          <w:rFonts w:ascii="Arial" w:hAnsi="Arial" w:cs="Arial"/>
          <w:b/>
          <w:bCs/>
          <w:color w:val="auto"/>
          <w:szCs w:val="22"/>
        </w:rPr>
        <w:t>prevede/non prevede</w:t>
      </w:r>
      <w:r w:rsidRPr="004B4CFE">
        <w:rPr>
          <w:rFonts w:ascii="Arial" w:hAnsi="Arial" w:cs="Arial"/>
          <w:color w:val="auto"/>
          <w:szCs w:val="22"/>
        </w:rPr>
        <w:t xml:space="preserve"> di assumere personale a tempo determinato, in deroga agli ordinari limiti, ai sensi di quanto previsto dall’articolo 31-bis del D.</w:t>
      </w:r>
      <w:r w:rsidR="00D86288">
        <w:rPr>
          <w:rFonts w:ascii="Arial" w:hAnsi="Arial" w:cs="Arial"/>
          <w:color w:val="auto"/>
          <w:szCs w:val="22"/>
        </w:rPr>
        <w:t>l</w:t>
      </w:r>
      <w:r w:rsidRPr="004B4CFE">
        <w:rPr>
          <w:rFonts w:ascii="Arial" w:hAnsi="Arial" w:cs="Arial"/>
          <w:color w:val="auto"/>
          <w:szCs w:val="22"/>
        </w:rPr>
        <w:t>. 152/2021.</w:t>
      </w:r>
    </w:p>
    <w:p w14:paraId="407374F5" w14:textId="6247AB0C" w:rsidR="0045043D" w:rsidRPr="009B653F" w:rsidRDefault="0045043D" w:rsidP="009B653F">
      <w:pPr>
        <w:spacing w:after="0" w:line="240" w:lineRule="auto"/>
        <w:rPr>
          <w:rFonts w:ascii="Arial" w:hAnsi="Arial" w:cs="Arial"/>
          <w:color w:val="auto"/>
          <w:szCs w:val="22"/>
        </w:rPr>
      </w:pPr>
      <w:r w:rsidRPr="009B653F">
        <w:rPr>
          <w:rFonts w:ascii="Arial" w:eastAsia="Arial" w:hAnsi="Arial" w:cs="Arial"/>
          <w:b/>
          <w:bCs/>
          <w:color w:val="00B0F0"/>
          <w:szCs w:val="22"/>
        </w:rPr>
        <w:t>N.B.</w:t>
      </w:r>
      <w:r w:rsidR="009B653F">
        <w:rPr>
          <w:rFonts w:ascii="Arial" w:hAnsi="Arial" w:cs="Arial"/>
          <w:color w:val="auto"/>
          <w:szCs w:val="22"/>
        </w:rPr>
        <w:t xml:space="preserve"> </w:t>
      </w:r>
      <w:r w:rsidRPr="009B653F">
        <w:rPr>
          <w:rFonts w:ascii="Arial" w:eastAsia="Arial" w:hAnsi="Arial" w:cs="Arial"/>
          <w:i/>
          <w:iCs/>
          <w:color w:val="00B0F0"/>
          <w:szCs w:val="22"/>
        </w:rPr>
        <w:t>L’articolo 14, comma 1-bis, del D.L. n. 25/2025 ha introdotto per gli enti locali una significativa opportunità di incrementare le risorse destinate alla contrattazione decentrata integrativa, pur mantenendo invariati i limiti strutturali fissati al 2016.</w:t>
      </w:r>
      <w:r w:rsidR="009B653F">
        <w:rPr>
          <w:rFonts w:ascii="Arial" w:eastAsia="Arial" w:hAnsi="Arial" w:cs="Arial"/>
          <w:i/>
          <w:iCs/>
          <w:color w:val="00B0F0"/>
          <w:szCs w:val="22"/>
        </w:rPr>
        <w:t xml:space="preserve"> </w:t>
      </w:r>
      <w:r w:rsidR="00915D7B">
        <w:rPr>
          <w:rFonts w:ascii="Arial" w:eastAsia="Arial" w:hAnsi="Arial" w:cs="Arial"/>
          <w:i/>
          <w:iCs/>
          <w:color w:val="00B0F0"/>
          <w:szCs w:val="22"/>
        </w:rPr>
        <w:t>I</w:t>
      </w:r>
      <w:r w:rsidRPr="009B653F">
        <w:rPr>
          <w:rFonts w:ascii="Arial" w:eastAsia="Arial" w:hAnsi="Arial" w:cs="Arial"/>
          <w:i/>
          <w:iCs/>
          <w:color w:val="00B0F0"/>
          <w:szCs w:val="22"/>
        </w:rPr>
        <w:t>l legislatore subordina ogni incremento alla verifica e asseverazione dell’equilibrio pluriennale di bilancio</w:t>
      </w:r>
      <w:r w:rsidR="00D30FA1">
        <w:rPr>
          <w:rFonts w:ascii="Arial" w:eastAsia="Arial" w:hAnsi="Arial" w:cs="Arial"/>
          <w:i/>
          <w:iCs/>
          <w:color w:val="00B0F0"/>
          <w:szCs w:val="22"/>
        </w:rPr>
        <w:t xml:space="preserve"> dell</w:t>
      </w:r>
      <w:r w:rsidR="00123ADD">
        <w:rPr>
          <w:rFonts w:ascii="Arial" w:eastAsia="Arial" w:hAnsi="Arial" w:cs="Arial"/>
          <w:i/>
          <w:iCs/>
          <w:color w:val="00B0F0"/>
          <w:szCs w:val="22"/>
        </w:rPr>
        <w:t>’</w:t>
      </w:r>
      <w:r w:rsidR="00D30FA1">
        <w:rPr>
          <w:rFonts w:ascii="Arial" w:eastAsia="Arial" w:hAnsi="Arial" w:cs="Arial"/>
          <w:i/>
          <w:iCs/>
          <w:color w:val="00B0F0"/>
          <w:szCs w:val="22"/>
        </w:rPr>
        <w:t xml:space="preserve">organo di revisione </w:t>
      </w:r>
      <w:r w:rsidR="002B0FF4" w:rsidRPr="009B653F">
        <w:rPr>
          <w:rFonts w:ascii="Arial" w:eastAsia="Arial" w:hAnsi="Arial" w:cs="Arial"/>
          <w:i/>
          <w:iCs/>
          <w:color w:val="00B0F0"/>
          <w:szCs w:val="22"/>
        </w:rPr>
        <w:t>(cfr Circolare RGS  27/06/2025</w:t>
      </w:r>
      <w:r w:rsidR="009B653F">
        <w:rPr>
          <w:rFonts w:ascii="Arial" w:eastAsia="Arial" w:hAnsi="Arial" w:cs="Arial"/>
          <w:i/>
          <w:iCs/>
          <w:color w:val="00B0F0"/>
          <w:szCs w:val="22"/>
        </w:rPr>
        <w:t xml:space="preserve"> </w:t>
      </w:r>
      <w:hyperlink r:id="rId28" w:tgtFrame="_blank" w:history="1">
        <w:r w:rsidR="002B0FF4" w:rsidRPr="009B653F">
          <w:rPr>
            <w:rFonts w:ascii="Arial" w:eastAsia="Arial" w:hAnsi="Arial" w:cs="Arial"/>
            <w:i/>
            <w:iCs/>
            <w:color w:val="00B0F0"/>
            <w:szCs w:val="22"/>
          </w:rPr>
          <w:t>circolare prot. n. 175706</w:t>
        </w:r>
      </w:hyperlink>
      <w:r w:rsidR="002B0FF4" w:rsidRPr="009B653F">
        <w:rPr>
          <w:rFonts w:ascii="Arial" w:eastAsia="Arial" w:hAnsi="Arial" w:cs="Arial"/>
          <w:i/>
          <w:iCs/>
          <w:color w:val="00B0F0"/>
          <w:szCs w:val="22"/>
        </w:rPr>
        <w:t>).</w:t>
      </w:r>
      <w:r w:rsidR="00DE62A3" w:rsidRPr="009B653F">
        <w:rPr>
          <w:rFonts w:ascii="Arial" w:eastAsia="Arial" w:hAnsi="Arial" w:cs="Arial"/>
          <w:i/>
          <w:iCs/>
          <w:color w:val="00B0F0"/>
          <w:szCs w:val="22"/>
        </w:rPr>
        <w:t xml:space="preserve"> Si riporta il testo dell’articolo 14: </w:t>
      </w:r>
      <w:r w:rsidR="00D30FA1">
        <w:rPr>
          <w:rFonts w:ascii="Arial" w:eastAsia="Arial" w:hAnsi="Arial" w:cs="Arial"/>
          <w:i/>
          <w:iCs/>
          <w:color w:val="00B0F0"/>
          <w:szCs w:val="22"/>
        </w:rPr>
        <w:t>«</w:t>
      </w:r>
      <w:r w:rsidR="00DE62A3" w:rsidRPr="009B653F">
        <w:rPr>
          <w:rFonts w:ascii="Arial" w:eastAsia="Arial" w:hAnsi="Arial" w:cs="Arial"/>
          <w:i/>
          <w:iCs/>
          <w:color w:val="00B0F0"/>
          <w:szCs w:val="22"/>
        </w:rPr>
        <w:t>A decorrere dall’anno 2025, al fine di armonizzare il trattamento accessorio del personale dipendente, le regioni, le città metropolitane, le province e i comuni, nel rispetto di quanto previsto dall’articolo 33, commi 1, 1-bis e 2, del decreto-legge 30 aprile 2019, n. 34, convertito, con modificazioni, dalla legge 28 giugno 2019, n. 58, e dell’equilibrio pluriennale di bilancio asseverato dall’organo di revisione, possono incrementare, in deroga al limite di cui all’articolo 23, comma 2, del decreto legislativo 25 maggio 2017, n. 75, il Fondo risorse decentrate destinato al personale in servizio fino al conseguimento di un’incidenza non superiore al 48 per cento delle somme destinate alla componente stabile del predetto Fondo, maggiorate degli importi relativi alla remunerazione degli incarichi di posizione organizzativa, sulla spesa complessivamente sostenuta nell’anno 2023 per gli stipendi tabellari delle aree professionali. (...)</w:t>
      </w:r>
      <w:r w:rsidR="00D30FA1">
        <w:rPr>
          <w:rFonts w:ascii="Arial" w:eastAsia="Arial" w:hAnsi="Arial" w:cs="Arial"/>
          <w:i/>
          <w:iCs/>
          <w:color w:val="00B0F0"/>
          <w:szCs w:val="22"/>
        </w:rPr>
        <w:t>».</w:t>
      </w:r>
    </w:p>
    <w:p w14:paraId="254BD2D6" w14:textId="77777777" w:rsidR="003E44F8" w:rsidRDefault="003E44F8"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21659C48" w14:textId="715D5452" w:rsidR="000F434D" w:rsidRPr="002A0A97" w:rsidRDefault="00BC1BB3"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w:t>
      </w:r>
      <w:r>
        <w:rPr>
          <w:rFonts w:ascii="Calibri" w:eastAsiaTheme="majorEastAsia" w:hAnsi="Calibri" w:cs="Times New Roman (Titoli CS)"/>
          <w:b/>
          <w:color w:val="C00000"/>
          <w:sz w:val="28"/>
          <w:szCs w:val="40"/>
        </w:rPr>
        <w:t>2</w:t>
      </w:r>
      <w:r w:rsidR="002A0A97" w:rsidRPr="00B37E3E">
        <w:rPr>
          <w:rFonts w:ascii="Calibri" w:eastAsiaTheme="majorEastAsia" w:hAnsi="Calibri" w:cs="Times New Roman (Titoli CS)"/>
          <w:b/>
          <w:color w:val="C00000"/>
          <w:sz w:val="28"/>
          <w:szCs w:val="40"/>
        </w:rPr>
        <w:t xml:space="preserve"> </w:t>
      </w:r>
      <w:r w:rsidR="000F434D" w:rsidRPr="002A0A97">
        <w:rPr>
          <w:rFonts w:ascii="Calibri" w:eastAsiaTheme="majorEastAsia" w:hAnsi="Calibri" w:cs="Times New Roman (Titoli CS)"/>
          <w:b/>
          <w:color w:val="C00000"/>
          <w:sz w:val="28"/>
          <w:szCs w:val="40"/>
        </w:rPr>
        <w:t>Spese per incarichi di collaborazione autonoma (art.7 comma 6, D. Lgs. 165/2001 ed articolo 3, comma 56, della legge n. 244/2007, come modificato dall’articolo 46, comma 3, del d. Legge n. 112/2008)</w:t>
      </w:r>
    </w:p>
    <w:p w14:paraId="13FA91D0" w14:textId="2063B7F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L’importo massimo previsto in bilancio per incarichi di collaborazione autonoma previsto per gli anni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è di euro ………... </w:t>
      </w:r>
    </w:p>
    <w:p w14:paraId="395FFB76" w14:textId="77777777" w:rsidR="005B1FBB"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r w:rsidR="00D86288">
        <w:rPr>
          <w:rFonts w:ascii="Arial" w:eastAsia="Arial" w:hAnsi="Arial" w:cs="Arial"/>
          <w:color w:val="000000"/>
          <w:szCs w:val="22"/>
        </w:rPr>
        <w:t>,</w:t>
      </w:r>
      <w:r>
        <w:rPr>
          <w:rFonts w:ascii="Arial" w:eastAsia="Arial" w:hAnsi="Arial" w:cs="Arial"/>
          <w:color w:val="000000"/>
          <w:szCs w:val="22"/>
        </w:rPr>
        <w:t xml:space="preserve"> ai sensi dell’art. 89 del TUEL</w:t>
      </w:r>
      <w:r w:rsidR="00D86288">
        <w:rPr>
          <w:rFonts w:ascii="Arial" w:eastAsia="Arial" w:hAnsi="Arial" w:cs="Arial"/>
          <w:color w:val="000000"/>
          <w:szCs w:val="22"/>
        </w:rPr>
        <w:t>,</w:t>
      </w:r>
      <w:r>
        <w:rPr>
          <w:rFonts w:ascii="Arial" w:eastAsia="Arial" w:hAnsi="Arial" w:cs="Arial"/>
          <w:color w:val="000000"/>
          <w:szCs w:val="22"/>
        </w:rPr>
        <w:t xml:space="preserve"> </w:t>
      </w:r>
      <w:r w:rsidRPr="007004F0">
        <w:rPr>
          <w:rFonts w:ascii="Arial" w:eastAsia="Arial" w:hAnsi="Arial" w:cs="Arial"/>
          <w:b/>
          <w:iCs/>
          <w:color w:val="000000"/>
          <w:szCs w:val="22"/>
        </w:rPr>
        <w:t>si è dotato/non è dotato</w:t>
      </w:r>
      <w:r>
        <w:rPr>
          <w:rFonts w:ascii="Arial" w:eastAsia="Arial" w:hAnsi="Arial" w:cs="Arial"/>
          <w:color w:val="000000"/>
          <w:szCs w:val="22"/>
        </w:rPr>
        <w:t xml:space="preserve"> di un regolamento per l’affidamento degli incarichi di collaborazione autonoma sulla base delle disposizioni introdotte dall’art. 46 del D.</w:t>
      </w:r>
      <w:r w:rsidR="00D86288">
        <w:rPr>
          <w:rFonts w:ascii="Arial" w:eastAsia="Arial" w:hAnsi="Arial" w:cs="Arial"/>
          <w:color w:val="000000"/>
          <w:szCs w:val="22"/>
        </w:rPr>
        <w:t>l</w:t>
      </w:r>
      <w:r>
        <w:rPr>
          <w:rFonts w:ascii="Arial" w:eastAsia="Arial" w:hAnsi="Arial" w:cs="Arial"/>
          <w:color w:val="000000"/>
          <w:szCs w:val="22"/>
        </w:rPr>
        <w:t>. 25 giugno 2008 n. 112, trasmesso alla Corte dei conti alle cui previsioni si raccomanda di attenersi rigorosamente.</w:t>
      </w:r>
    </w:p>
    <w:p w14:paraId="2D2ACE5C" w14:textId="6CE8C87B" w:rsidR="000F434D" w:rsidRPr="00377468" w:rsidRDefault="00635C4D" w:rsidP="000F434D">
      <w:pPr>
        <w:pBdr>
          <w:top w:val="nil"/>
          <w:left w:val="nil"/>
          <w:bottom w:val="nil"/>
          <w:right w:val="nil"/>
          <w:between w:val="nil"/>
        </w:pBdr>
        <w:spacing w:line="240" w:lineRule="auto"/>
        <w:ind w:hanging="2"/>
        <w:rPr>
          <w:rFonts w:ascii="Arial" w:eastAsia="Arial" w:hAnsi="Arial" w:cs="Arial"/>
          <w:b/>
          <w:bCs/>
          <w:i/>
          <w:iCs/>
          <w:color w:val="00B0F0"/>
          <w:szCs w:val="22"/>
        </w:rPr>
      </w:pPr>
      <w:r>
        <w:rPr>
          <w:rFonts w:ascii="Arial" w:eastAsia="Arial" w:hAnsi="Arial" w:cs="Arial"/>
          <w:b/>
          <w:bCs/>
          <w:i/>
          <w:iCs/>
          <w:color w:val="00B0F0"/>
          <w:szCs w:val="22"/>
        </w:rPr>
        <w:t>(</w:t>
      </w:r>
      <w:r w:rsidRPr="00377468">
        <w:rPr>
          <w:rFonts w:ascii="Arial" w:eastAsia="Arial" w:hAnsi="Arial" w:cs="Arial"/>
          <w:b/>
          <w:bCs/>
          <w:i/>
          <w:iCs/>
          <w:color w:val="00B0F0"/>
          <w:szCs w:val="22"/>
        </w:rPr>
        <w:t xml:space="preserve">N.B. </w:t>
      </w:r>
      <w:r w:rsidR="000F434D" w:rsidRPr="00B20671">
        <w:rPr>
          <w:rFonts w:ascii="Arial" w:eastAsia="Arial" w:hAnsi="Arial" w:cs="Arial"/>
          <w:i/>
          <w:iCs/>
          <w:color w:val="00B0F0"/>
          <w:szCs w:val="22"/>
        </w:rPr>
        <w:t>L’Ente è tenuto a pubblicare regolarmente in Amministrazione Trasparente i provvedimenti di incarico con l’indicazione dei soggetti percettori, della ragione dell’incarico e del compenso e delle altre informazioni previste dalla legge</w:t>
      </w:r>
      <w:r>
        <w:rPr>
          <w:rFonts w:ascii="Arial" w:eastAsia="Arial" w:hAnsi="Arial" w:cs="Arial"/>
          <w:b/>
          <w:bCs/>
          <w:i/>
          <w:iCs/>
          <w:color w:val="00B0F0"/>
          <w:szCs w:val="22"/>
        </w:rPr>
        <w:t>)</w:t>
      </w:r>
      <w:r w:rsidR="000F434D" w:rsidRPr="00377468">
        <w:rPr>
          <w:rFonts w:ascii="Arial" w:eastAsia="Arial" w:hAnsi="Arial" w:cs="Arial"/>
          <w:b/>
          <w:bCs/>
          <w:i/>
          <w:iCs/>
          <w:color w:val="00B0F0"/>
          <w:szCs w:val="22"/>
        </w:rPr>
        <w:t xml:space="preserve">. </w:t>
      </w:r>
    </w:p>
    <w:p w14:paraId="6B82F863" w14:textId="3FF01D10" w:rsidR="00595F99" w:rsidRPr="00E1450A" w:rsidRDefault="00595F99" w:rsidP="00E1450A">
      <w:pPr>
        <w:outlineLvl w:val="0"/>
        <w:rPr>
          <w:rFonts w:cstheme="minorHAnsi"/>
          <w:b/>
          <w:bCs/>
          <w:i/>
          <w:iCs/>
          <w:color w:val="C00000"/>
          <w:sz w:val="28"/>
          <w:szCs w:val="28"/>
        </w:rPr>
      </w:pPr>
      <w:bookmarkStart w:id="60" w:name="_Toc219808175"/>
      <w:r w:rsidRPr="00E1450A">
        <w:rPr>
          <w:rFonts w:cstheme="minorHAnsi"/>
          <w:b/>
          <w:bCs/>
          <w:i/>
          <w:iCs/>
          <w:color w:val="C00000"/>
          <w:sz w:val="28"/>
          <w:szCs w:val="28"/>
        </w:rPr>
        <w:t>7.3 S</w:t>
      </w:r>
      <w:r w:rsidR="00E1450A" w:rsidRPr="00E1450A">
        <w:rPr>
          <w:rFonts w:cstheme="minorHAnsi"/>
          <w:b/>
          <w:bCs/>
          <w:i/>
          <w:iCs/>
          <w:color w:val="C00000"/>
          <w:sz w:val="28"/>
          <w:szCs w:val="28"/>
        </w:rPr>
        <w:t>pending review</w:t>
      </w:r>
      <w:bookmarkEnd w:id="60"/>
    </w:p>
    <w:p w14:paraId="238B9184" w14:textId="40E3DF44" w:rsidR="00FB2C2F" w:rsidRDefault="00B61A0E" w:rsidP="003A6C47">
      <w:pPr>
        <w:tabs>
          <w:tab w:val="left" w:pos="1201"/>
        </w:tabs>
        <w:rPr>
          <w:rFonts w:ascii="Arial" w:eastAsia="Arial" w:hAnsi="Arial" w:cs="Arial"/>
          <w:color w:val="000000"/>
          <w:szCs w:val="22"/>
        </w:rPr>
      </w:pPr>
      <w:r w:rsidRPr="00E1450A">
        <w:rPr>
          <w:rFonts w:ascii="Arial" w:eastAsia="Arial" w:hAnsi="Arial" w:cs="Arial"/>
          <w:color w:val="000000"/>
          <w:szCs w:val="22"/>
        </w:rPr>
        <w:t>L’Organo di revisione ha verificato che l’Ente</w:t>
      </w:r>
      <w:r w:rsidR="009B653F">
        <w:rPr>
          <w:rFonts w:ascii="Arial" w:eastAsia="Arial" w:hAnsi="Arial" w:cs="Arial"/>
          <w:color w:val="000000"/>
          <w:szCs w:val="22"/>
        </w:rPr>
        <w:t xml:space="preserve"> </w:t>
      </w:r>
      <w:r w:rsidR="00515733" w:rsidRPr="00E1450A">
        <w:rPr>
          <w:rFonts w:ascii="Arial" w:eastAsia="Arial" w:hAnsi="Arial" w:cs="Arial"/>
          <w:b/>
          <w:bCs/>
          <w:color w:val="000000"/>
          <w:szCs w:val="22"/>
        </w:rPr>
        <w:t>ha stanziato/non ha stanziato</w:t>
      </w:r>
      <w:r w:rsidR="00515733" w:rsidRPr="00E1450A">
        <w:rPr>
          <w:rFonts w:ascii="Arial" w:eastAsia="Arial" w:hAnsi="Arial" w:cs="Arial"/>
          <w:color w:val="000000"/>
          <w:szCs w:val="22"/>
        </w:rPr>
        <w:t xml:space="preserve"> le risorse relative alla spending review di cui al DM 30.9.2024 (L. 213/2023 art.1 commi 533,534,535)</w:t>
      </w:r>
      <w:r w:rsidR="00FB2C2F">
        <w:rPr>
          <w:rFonts w:ascii="Arial" w:eastAsia="Arial" w:hAnsi="Arial" w:cs="Arial"/>
          <w:color w:val="000000"/>
          <w:szCs w:val="22"/>
        </w:rPr>
        <w:t xml:space="preserve"> come da tabella seguente</w:t>
      </w:r>
      <w:r w:rsidR="009B653F">
        <w:rPr>
          <w:rFonts w:ascii="Arial" w:eastAsia="Arial" w:hAnsi="Arial" w:cs="Arial"/>
          <w:color w:val="000000"/>
          <w:szCs w:val="22"/>
        </w:rPr>
        <w:t>:</w:t>
      </w:r>
    </w:p>
    <w:tbl>
      <w:tblPr>
        <w:tblStyle w:val="Grigliatabella"/>
        <w:tblW w:w="0" w:type="auto"/>
        <w:tblLook w:val="04A0" w:firstRow="1" w:lastRow="0" w:firstColumn="1" w:lastColumn="0" w:noHBand="0" w:noVBand="1"/>
      </w:tblPr>
      <w:tblGrid>
        <w:gridCol w:w="3020"/>
        <w:gridCol w:w="3020"/>
        <w:gridCol w:w="3020"/>
      </w:tblGrid>
      <w:tr w:rsidR="008512C4" w14:paraId="4116F94D" w14:textId="77777777" w:rsidTr="008512C4">
        <w:tc>
          <w:tcPr>
            <w:tcW w:w="3020" w:type="dxa"/>
          </w:tcPr>
          <w:p w14:paraId="21D99E8A" w14:textId="6480A508"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2026</w:t>
            </w:r>
          </w:p>
        </w:tc>
        <w:tc>
          <w:tcPr>
            <w:tcW w:w="3020" w:type="dxa"/>
          </w:tcPr>
          <w:p w14:paraId="34A3D34C" w14:textId="336FC521"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2027</w:t>
            </w:r>
          </w:p>
        </w:tc>
        <w:tc>
          <w:tcPr>
            <w:tcW w:w="3020" w:type="dxa"/>
          </w:tcPr>
          <w:p w14:paraId="0BEDE92C" w14:textId="217ACE0F"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2028</w:t>
            </w:r>
          </w:p>
        </w:tc>
      </w:tr>
      <w:tr w:rsidR="008512C4" w14:paraId="66B15EB9" w14:textId="77777777" w:rsidTr="008512C4">
        <w:tc>
          <w:tcPr>
            <w:tcW w:w="3020" w:type="dxa"/>
          </w:tcPr>
          <w:p w14:paraId="2966E148" w14:textId="19EEBC87" w:rsidR="008512C4" w:rsidRDefault="008512C4"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c>
          <w:tcPr>
            <w:tcW w:w="3020" w:type="dxa"/>
          </w:tcPr>
          <w:p w14:paraId="6ADD469E" w14:textId="6498B454" w:rsidR="008512C4" w:rsidRDefault="009B653F"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c>
          <w:tcPr>
            <w:tcW w:w="3020" w:type="dxa"/>
          </w:tcPr>
          <w:p w14:paraId="45EB15D5" w14:textId="2E297C4F" w:rsidR="008512C4" w:rsidRDefault="009B653F"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r>
    </w:tbl>
    <w:p w14:paraId="5A812107" w14:textId="3944A4E0" w:rsidR="00515733" w:rsidRPr="00E1450A" w:rsidRDefault="00515733" w:rsidP="003A6C47">
      <w:pPr>
        <w:tabs>
          <w:tab w:val="left" w:pos="1201"/>
        </w:tabs>
        <w:rPr>
          <w:rFonts w:ascii="Arial" w:eastAsia="Arial" w:hAnsi="Arial" w:cs="Arial"/>
          <w:color w:val="000000"/>
          <w:szCs w:val="22"/>
        </w:rPr>
      </w:pPr>
    </w:p>
    <w:p w14:paraId="47F569AF" w14:textId="5EE76D8E" w:rsidR="009B653F" w:rsidRPr="00E1450A" w:rsidDel="002E6A44" w:rsidRDefault="00515733" w:rsidP="003A6C47">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00B61A0E" w:rsidRPr="002E6A44">
        <w:rPr>
          <w:rFonts w:ascii="Arial" w:eastAsia="Arial" w:hAnsi="Arial" w:cs="Arial"/>
          <w:b/>
          <w:bCs/>
          <w:color w:val="000000"/>
          <w:szCs w:val="22"/>
        </w:rPr>
        <w:t>ha stanziato/non ha stanziato</w:t>
      </w:r>
      <w:r w:rsidR="00B61A0E" w:rsidRPr="002E6A44">
        <w:rPr>
          <w:rFonts w:ascii="Arial" w:eastAsia="Arial" w:hAnsi="Arial" w:cs="Arial"/>
          <w:color w:val="000000"/>
          <w:szCs w:val="22"/>
        </w:rPr>
        <w:t xml:space="preserve"> tali risorse sul piano dei conti </w:t>
      </w:r>
      <w:r w:rsidR="00B61A0E" w:rsidRPr="009B653F">
        <w:rPr>
          <w:rFonts w:ascii="Arial" w:eastAsia="Arial" w:hAnsi="Arial" w:cs="Arial"/>
          <w:color w:val="000000"/>
          <w:szCs w:val="22"/>
        </w:rPr>
        <w:t>U.1.04.01.01.020 “Trasferimenti correnti al Ministero dell’economia in attuazione di norme in materia di contenimento di spesa”, con allocazione nella Missione 1 Servizi istituzionali, generali e di gestione, Programma 03, Gestione economica, finanziaria, programmazione e provveditorato, COFOG 1.1 – Organi esecutivi e legislativi, attività finanziarie e fiscali e affari esteri</w:t>
      </w:r>
      <w:r w:rsidR="00183124" w:rsidRPr="002E6A44">
        <w:rPr>
          <w:rFonts w:ascii="Arial" w:eastAsia="Arial" w:hAnsi="Arial" w:cs="Arial"/>
          <w:color w:val="000000"/>
          <w:szCs w:val="22"/>
        </w:rPr>
        <w:t>.</w:t>
      </w:r>
    </w:p>
    <w:p w14:paraId="5841C942" w14:textId="68EC738A" w:rsidR="00583C01" w:rsidRPr="00B96B45" w:rsidRDefault="00BC1BB3" w:rsidP="0006092D">
      <w:pPr>
        <w:pStyle w:val="Titolo1"/>
        <w:numPr>
          <w:ilvl w:val="0"/>
          <w:numId w:val="0"/>
        </w:numPr>
        <w:ind w:left="357" w:hanging="357"/>
        <w:rPr>
          <w:b w:val="0"/>
          <w:i/>
          <w:iCs/>
        </w:rPr>
      </w:pPr>
      <w:bookmarkStart w:id="61" w:name="_Toc219808176"/>
      <w:r w:rsidRPr="00B96B45">
        <w:rPr>
          <w:i/>
          <w:iCs/>
        </w:rPr>
        <w:t>7</w:t>
      </w:r>
      <w:r w:rsidR="002A0A97" w:rsidRPr="00B96B45">
        <w:rPr>
          <w:i/>
          <w:iCs/>
        </w:rPr>
        <w:t>.</w:t>
      </w:r>
      <w:r w:rsidR="00595F99">
        <w:rPr>
          <w:i/>
          <w:iCs/>
        </w:rPr>
        <w:t>4</w:t>
      </w:r>
      <w:r w:rsidR="00583C01" w:rsidRPr="00B96B45">
        <w:rPr>
          <w:i/>
          <w:iCs/>
        </w:rPr>
        <w:t>. Spese in conto capitale</w:t>
      </w:r>
      <w:bookmarkEnd w:id="61"/>
      <w:r w:rsidR="00583C01" w:rsidRPr="00B96B45">
        <w:rPr>
          <w:i/>
          <w:iCs/>
        </w:rPr>
        <w:t xml:space="preserve"> </w:t>
      </w:r>
    </w:p>
    <w:p w14:paraId="76189B0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Le spese in conto capitale previste sono pari:</w:t>
      </w:r>
    </w:p>
    <w:p w14:paraId="28FF3714" w14:textId="75B2CE2A"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6</w:t>
      </w:r>
      <w:r w:rsidRPr="00BE32C7">
        <w:rPr>
          <w:rFonts w:ascii="Arial" w:eastAsia="Arial" w:hAnsi="Arial" w:cs="Arial"/>
          <w:color w:val="auto"/>
          <w:szCs w:val="22"/>
        </w:rPr>
        <w:t xml:space="preserve"> ad euro </w:t>
      </w:r>
      <w:r w:rsidR="009A5514">
        <w:rPr>
          <w:rFonts w:ascii="Arial" w:eastAsia="Arial" w:hAnsi="Arial" w:cs="Arial"/>
          <w:color w:val="auto"/>
          <w:szCs w:val="22"/>
        </w:rPr>
        <w:t>____</w:t>
      </w:r>
      <w:r w:rsidRPr="00BE32C7">
        <w:rPr>
          <w:rFonts w:ascii="Arial" w:eastAsia="Arial" w:hAnsi="Arial" w:cs="Arial"/>
          <w:color w:val="auto"/>
          <w:szCs w:val="22"/>
        </w:rPr>
        <w:t>.;</w:t>
      </w:r>
    </w:p>
    <w:p w14:paraId="61F0B947" w14:textId="6AEABDD8"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7</w:t>
      </w:r>
      <w:r w:rsidRPr="00BE32C7">
        <w:rPr>
          <w:rFonts w:ascii="Arial" w:eastAsia="Arial" w:hAnsi="Arial" w:cs="Arial"/>
          <w:color w:val="auto"/>
          <w:szCs w:val="22"/>
        </w:rPr>
        <w:t xml:space="preserve"> ad euro</w:t>
      </w:r>
      <w:r w:rsidR="009A5514">
        <w:rPr>
          <w:rFonts w:ascii="Arial" w:eastAsia="Arial" w:hAnsi="Arial" w:cs="Arial"/>
          <w:color w:val="auto"/>
          <w:szCs w:val="22"/>
        </w:rPr>
        <w:t xml:space="preserve"> ____</w:t>
      </w:r>
      <w:r w:rsidRPr="00BE32C7">
        <w:rPr>
          <w:rFonts w:ascii="Arial" w:eastAsia="Arial" w:hAnsi="Arial" w:cs="Arial"/>
          <w:color w:val="auto"/>
          <w:szCs w:val="22"/>
        </w:rPr>
        <w:t>;</w:t>
      </w:r>
    </w:p>
    <w:p w14:paraId="6B00CFC7" w14:textId="69097DEB"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8</w:t>
      </w:r>
      <w:r w:rsidRPr="00BE32C7">
        <w:rPr>
          <w:rFonts w:ascii="Arial" w:eastAsia="Arial" w:hAnsi="Arial" w:cs="Arial"/>
          <w:color w:val="auto"/>
          <w:szCs w:val="22"/>
        </w:rPr>
        <w:t xml:space="preserve"> ad euro</w:t>
      </w:r>
      <w:r w:rsidR="009A5514">
        <w:rPr>
          <w:rFonts w:ascii="Arial" w:eastAsia="Arial" w:hAnsi="Arial" w:cs="Arial"/>
          <w:color w:val="auto"/>
          <w:szCs w:val="22"/>
        </w:rPr>
        <w:t xml:space="preserve"> ____</w:t>
      </w:r>
      <w:r w:rsidRPr="00BE32C7">
        <w:rPr>
          <w:rFonts w:ascii="Arial" w:eastAsia="Arial" w:hAnsi="Arial" w:cs="Arial"/>
          <w:color w:val="auto"/>
          <w:szCs w:val="22"/>
        </w:rPr>
        <w:t>;</w:t>
      </w:r>
    </w:p>
    <w:p w14:paraId="192FF03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4D717333" w14:textId="77777777" w:rsidR="0059751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le opere di importo superiore a</w:t>
      </w:r>
      <w:r w:rsidR="00D86288">
        <w:rPr>
          <w:rFonts w:ascii="Arial" w:eastAsia="Arial" w:hAnsi="Arial" w:cs="Arial"/>
          <w:color w:val="auto"/>
          <w:szCs w:val="22"/>
        </w:rPr>
        <w:t xml:space="preserve"> euro </w:t>
      </w:r>
      <w:r w:rsidRPr="00BE32C7">
        <w:rPr>
          <w:rFonts w:ascii="Arial" w:eastAsia="Arial" w:hAnsi="Arial" w:cs="Arial"/>
          <w:color w:val="auto"/>
          <w:szCs w:val="22"/>
        </w:rPr>
        <w:t>1</w:t>
      </w:r>
      <w:r w:rsidR="006E6CB2" w:rsidRPr="00BE32C7">
        <w:rPr>
          <w:rFonts w:ascii="Arial" w:eastAsia="Arial" w:hAnsi="Arial" w:cs="Arial"/>
          <w:color w:val="auto"/>
          <w:szCs w:val="22"/>
        </w:rPr>
        <w:t>50</w:t>
      </w:r>
      <w:r w:rsidRPr="00BE32C7">
        <w:rPr>
          <w:rFonts w:ascii="Arial" w:eastAsia="Arial" w:hAnsi="Arial" w:cs="Arial"/>
          <w:color w:val="auto"/>
          <w:szCs w:val="22"/>
        </w:rPr>
        <w:t xml:space="preserve">.000,00 </w:t>
      </w:r>
      <w:r w:rsidRPr="00BE32C7">
        <w:rPr>
          <w:rFonts w:ascii="Arial" w:eastAsia="Arial" w:hAnsi="Arial" w:cs="Arial"/>
          <w:b/>
          <w:bCs/>
          <w:color w:val="auto"/>
          <w:szCs w:val="22"/>
        </w:rPr>
        <w:t xml:space="preserve">sono state/non sono state </w:t>
      </w:r>
      <w:r w:rsidRPr="00D86288">
        <w:rPr>
          <w:rFonts w:ascii="Arial" w:eastAsia="Arial" w:hAnsi="Arial" w:cs="Arial"/>
          <w:color w:val="auto"/>
          <w:szCs w:val="22"/>
        </w:rPr>
        <w:t>inserite</w:t>
      </w:r>
      <w:r w:rsidRPr="00BE32C7">
        <w:rPr>
          <w:rFonts w:ascii="Arial" w:eastAsia="Arial" w:hAnsi="Arial" w:cs="Arial"/>
          <w:color w:val="auto"/>
          <w:szCs w:val="22"/>
        </w:rPr>
        <w:t xml:space="preserve"> nel programma triennale dei lavori pubblici.</w:t>
      </w:r>
    </w:p>
    <w:p w14:paraId="19B2FF63" w14:textId="5D5CD558"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la previsione per l’esercizio 202</w:t>
      </w:r>
      <w:r w:rsidR="00DB2D30">
        <w:rPr>
          <w:rFonts w:ascii="Arial" w:eastAsia="Arial" w:hAnsi="Arial" w:cs="Arial"/>
          <w:color w:val="auto"/>
          <w:szCs w:val="22"/>
        </w:rPr>
        <w:t>6</w:t>
      </w:r>
      <w:r w:rsidRPr="00BE32C7">
        <w:rPr>
          <w:rFonts w:ascii="Arial" w:eastAsia="Arial" w:hAnsi="Arial" w:cs="Arial"/>
          <w:color w:val="auto"/>
          <w:szCs w:val="22"/>
        </w:rPr>
        <w:t xml:space="preserve"> delle spese in conto capitale di importo superiore </w:t>
      </w:r>
      <w:r w:rsidR="00D86288">
        <w:rPr>
          <w:rFonts w:ascii="Arial" w:eastAsia="Arial" w:hAnsi="Arial" w:cs="Arial"/>
          <w:color w:val="auto"/>
          <w:szCs w:val="22"/>
        </w:rPr>
        <w:t>a</w:t>
      </w:r>
      <w:r w:rsidRPr="00BE32C7">
        <w:rPr>
          <w:rFonts w:ascii="Arial" w:eastAsia="Arial" w:hAnsi="Arial" w:cs="Arial"/>
          <w:color w:val="auto"/>
          <w:szCs w:val="22"/>
        </w:rPr>
        <w:t xml:space="preserve"> </w:t>
      </w:r>
      <w:r w:rsidR="00D86288">
        <w:rPr>
          <w:rFonts w:ascii="Arial" w:eastAsia="Arial" w:hAnsi="Arial" w:cs="Arial"/>
          <w:color w:val="auto"/>
          <w:szCs w:val="22"/>
        </w:rPr>
        <w:t xml:space="preserve">euro </w:t>
      </w:r>
      <w:r w:rsidRPr="00BE32C7">
        <w:rPr>
          <w:rFonts w:ascii="Arial" w:eastAsia="Arial" w:hAnsi="Arial" w:cs="Arial"/>
          <w:color w:val="auto"/>
          <w:szCs w:val="22"/>
        </w:rPr>
        <w:t>1</w:t>
      </w:r>
      <w:r w:rsidR="006E6CB2" w:rsidRPr="00BE32C7">
        <w:rPr>
          <w:rFonts w:ascii="Arial" w:eastAsia="Arial" w:hAnsi="Arial" w:cs="Arial"/>
          <w:color w:val="auto"/>
          <w:szCs w:val="22"/>
        </w:rPr>
        <w:t>5</w:t>
      </w:r>
      <w:r w:rsidRPr="00BE32C7">
        <w:rPr>
          <w:rFonts w:ascii="Arial" w:eastAsia="Arial" w:hAnsi="Arial" w:cs="Arial"/>
          <w:color w:val="auto"/>
          <w:szCs w:val="22"/>
        </w:rPr>
        <w:t xml:space="preserve">0.000,00 </w:t>
      </w:r>
      <w:r w:rsidRPr="00BE32C7">
        <w:rPr>
          <w:rFonts w:ascii="Arial" w:eastAsia="Arial" w:hAnsi="Arial" w:cs="Arial"/>
          <w:b/>
          <w:bCs/>
          <w:color w:val="auto"/>
          <w:szCs w:val="22"/>
        </w:rPr>
        <w:t>corrispon</w:t>
      </w:r>
      <w:r w:rsidR="00635C4D" w:rsidRPr="00BE32C7">
        <w:rPr>
          <w:rFonts w:ascii="Arial" w:eastAsia="Arial" w:hAnsi="Arial" w:cs="Arial"/>
          <w:b/>
          <w:bCs/>
          <w:color w:val="auto"/>
          <w:szCs w:val="22"/>
        </w:rPr>
        <w:t>d</w:t>
      </w:r>
      <w:r w:rsidR="00377468" w:rsidRPr="00BE32C7">
        <w:rPr>
          <w:rFonts w:ascii="Arial" w:eastAsia="Arial" w:hAnsi="Arial" w:cs="Arial"/>
          <w:b/>
          <w:bCs/>
          <w:color w:val="auto"/>
          <w:szCs w:val="22"/>
        </w:rPr>
        <w:t>e</w:t>
      </w:r>
      <w:r w:rsidRPr="00BE32C7">
        <w:rPr>
          <w:rFonts w:ascii="Arial" w:eastAsia="Arial" w:hAnsi="Arial" w:cs="Arial"/>
          <w:b/>
          <w:bCs/>
          <w:color w:val="auto"/>
          <w:szCs w:val="22"/>
        </w:rPr>
        <w:t>/non corrispond</w:t>
      </w:r>
      <w:r w:rsidR="00377468" w:rsidRPr="00BE32C7">
        <w:rPr>
          <w:rFonts w:ascii="Arial" w:eastAsia="Arial" w:hAnsi="Arial" w:cs="Arial"/>
          <w:b/>
          <w:bCs/>
          <w:color w:val="auto"/>
          <w:szCs w:val="22"/>
        </w:rPr>
        <w:t>e</w:t>
      </w:r>
      <w:r w:rsidRPr="00BE32C7">
        <w:rPr>
          <w:rFonts w:ascii="Arial" w:eastAsia="Arial" w:hAnsi="Arial" w:cs="Arial"/>
          <w:color w:val="auto"/>
          <w:szCs w:val="22"/>
        </w:rPr>
        <w:t xml:space="preserve"> con la prima annualità del programma triennale dei lavori pubblici. </w:t>
      </w:r>
    </w:p>
    <w:p w14:paraId="235AED85" w14:textId="0E750A0D"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Ogni intervento </w:t>
      </w:r>
      <w:r w:rsidRPr="00BE32C7">
        <w:rPr>
          <w:rFonts w:ascii="Arial" w:eastAsia="Arial" w:hAnsi="Arial" w:cs="Arial"/>
          <w:b/>
          <w:bCs/>
          <w:color w:val="auto"/>
          <w:szCs w:val="22"/>
        </w:rPr>
        <w:t>ha/non ha</w:t>
      </w:r>
      <w:r w:rsidRPr="00BE32C7">
        <w:rPr>
          <w:rFonts w:ascii="Arial" w:eastAsia="Arial" w:hAnsi="Arial" w:cs="Arial"/>
          <w:color w:val="auto"/>
          <w:szCs w:val="22"/>
        </w:rPr>
        <w:t xml:space="preserve"> un cronoprogramma con le diverse fasi di realizzazione</w:t>
      </w:r>
      <w:r w:rsidR="00625DD6" w:rsidRPr="00BE32C7">
        <w:rPr>
          <w:rFonts w:ascii="Arial" w:eastAsia="Arial" w:hAnsi="Arial" w:cs="Arial"/>
          <w:color w:val="auto"/>
          <w:szCs w:val="22"/>
        </w:rPr>
        <w:t xml:space="preserve">. </w:t>
      </w:r>
    </w:p>
    <w:p w14:paraId="08C3D2D3"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al bilancio di previsione è allegato un prospetto che identifica per ogni spesa in conto capitale la relativa fonte di finanziamento, che si riepiloga successivamente:</w:t>
      </w:r>
    </w:p>
    <w:p w14:paraId="5B7B97EE" w14:textId="1BCEE165" w:rsidR="000F434D" w:rsidRPr="00BE32C7" w:rsidRDefault="006202C9" w:rsidP="000F434D">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auto"/>
          <w:szCs w:val="22"/>
        </w:rPr>
        <w:t>……………………..</w:t>
      </w:r>
    </w:p>
    <w:p w14:paraId="2F8076E7"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4580EFFA" w14:textId="323EC38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Investimenti senza esborsi finanziari</w:t>
      </w:r>
    </w:p>
    <w:p w14:paraId="065B0ED3" w14:textId="4CA1E42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Sono programmati per gli anni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altri investimenti senza esborso finanziario (transazioni non monetarie) rilevati in bilancio nell’entrata e nella spesa come segue:</w:t>
      </w:r>
    </w:p>
    <w:p w14:paraId="14064711" w14:textId="77777777" w:rsidR="003301B0" w:rsidRDefault="003301B0" w:rsidP="003301B0">
      <w:pPr>
        <w:pBdr>
          <w:top w:val="nil"/>
          <w:left w:val="nil"/>
          <w:bottom w:val="nil"/>
          <w:right w:val="nil"/>
          <w:between w:val="nil"/>
        </w:pBdr>
        <w:spacing w:line="240" w:lineRule="auto"/>
        <w:ind w:hanging="2"/>
        <w:jc w:val="center"/>
        <w:rPr>
          <w:rFonts w:ascii="Arial" w:hAnsi="Arial" w:cs="Arial"/>
          <w:color w:val="000000"/>
          <w:szCs w:val="22"/>
        </w:rPr>
      </w:pPr>
      <w:bookmarkStart w:id="62" w:name="_heading=h.25b2l0r" w:colFirst="0" w:colLast="0"/>
      <w:bookmarkEnd w:id="62"/>
    </w:p>
    <w:p w14:paraId="6E54577E" w14:textId="480A5C28" w:rsidR="000F434D" w:rsidRPr="00E623BE" w:rsidRDefault="003301B0" w:rsidP="003301B0">
      <w:pPr>
        <w:pBdr>
          <w:top w:val="nil"/>
          <w:left w:val="nil"/>
          <w:bottom w:val="nil"/>
          <w:right w:val="nil"/>
          <w:between w:val="nil"/>
        </w:pBdr>
        <w:spacing w:line="240" w:lineRule="auto"/>
        <w:ind w:hanging="2"/>
        <w:jc w:val="center"/>
        <w:rPr>
          <w:rFonts w:ascii="Arial" w:hAnsi="Arial" w:cs="Arial"/>
          <w:b/>
          <w:bCs/>
          <w:color w:val="000000"/>
          <w:szCs w:val="22"/>
        </w:rPr>
      </w:pPr>
      <w:r w:rsidRPr="00E623BE">
        <w:rPr>
          <w:rFonts w:ascii="Arial" w:hAnsi="Arial" w:cs="Arial"/>
          <w:b/>
          <w:bCs/>
          <w:color w:val="000000"/>
          <w:szCs w:val="22"/>
        </w:rPr>
        <w:t>TABELLA 15</w:t>
      </w:r>
      <w:r w:rsidR="00E623BE">
        <w:rPr>
          <w:rFonts w:ascii="Arial" w:hAnsi="Arial" w:cs="Arial"/>
          <w:b/>
          <w:bCs/>
          <w:color w:val="000000"/>
          <w:szCs w:val="22"/>
        </w:rPr>
        <w:t>-a</w:t>
      </w:r>
    </w:p>
    <w:p w14:paraId="72327F3A" w14:textId="77777777" w:rsidR="000F434D" w:rsidRPr="003301B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647D4E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Ente </w:t>
      </w:r>
      <w:r w:rsidRPr="00BE32C7">
        <w:rPr>
          <w:rFonts w:ascii="Arial" w:eastAsia="Arial" w:hAnsi="Arial" w:cs="Arial"/>
          <w:b/>
          <w:color w:val="auto"/>
          <w:szCs w:val="22"/>
        </w:rPr>
        <w:t>ha in essere o intende acquisire</w:t>
      </w:r>
      <w:r w:rsidRPr="00BE32C7">
        <w:rPr>
          <w:rFonts w:ascii="Arial" w:eastAsia="Arial" w:hAnsi="Arial" w:cs="Arial"/>
          <w:color w:val="auto"/>
          <w:szCs w:val="22"/>
        </w:rPr>
        <w:t xml:space="preserve"> i seguenti beni con contratto di PPP:</w:t>
      </w:r>
    </w:p>
    <w:p w14:paraId="5CBE5224"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0969600C" w14:textId="61A57092" w:rsidR="003301B0" w:rsidRPr="00BE32C7" w:rsidRDefault="003301B0" w:rsidP="003301B0">
      <w:pPr>
        <w:pBdr>
          <w:top w:val="nil"/>
          <w:left w:val="nil"/>
          <w:bottom w:val="nil"/>
          <w:right w:val="nil"/>
          <w:between w:val="nil"/>
        </w:pBdr>
        <w:spacing w:line="240" w:lineRule="auto"/>
        <w:ind w:hanging="2"/>
        <w:jc w:val="center"/>
        <w:rPr>
          <w:rFonts w:ascii="Arial" w:hAnsi="Arial" w:cs="Arial"/>
          <w:b/>
          <w:bCs/>
          <w:color w:val="auto"/>
          <w:szCs w:val="22"/>
        </w:rPr>
      </w:pPr>
      <w:bookmarkStart w:id="63" w:name="_heading=h.kgcv8k" w:colFirst="0" w:colLast="0"/>
      <w:bookmarkEnd w:id="63"/>
      <w:r w:rsidRPr="00BE32C7">
        <w:rPr>
          <w:rFonts w:ascii="Arial" w:hAnsi="Arial" w:cs="Arial"/>
          <w:b/>
          <w:bCs/>
          <w:color w:val="auto"/>
          <w:szCs w:val="22"/>
        </w:rPr>
        <w:lastRenderedPageBreak/>
        <w:t>TABELLA 15-</w:t>
      </w:r>
      <w:r w:rsidR="00E623BE" w:rsidRPr="00BE32C7">
        <w:rPr>
          <w:rFonts w:ascii="Arial" w:hAnsi="Arial" w:cs="Arial"/>
          <w:b/>
          <w:bCs/>
          <w:color w:val="auto"/>
          <w:szCs w:val="22"/>
        </w:rPr>
        <w:t>b</w:t>
      </w:r>
    </w:p>
    <w:p w14:paraId="0C6214D6" w14:textId="4FE10CAD" w:rsidR="000F434D" w:rsidRPr="00BE32C7" w:rsidRDefault="000F434D" w:rsidP="000F434D">
      <w:pPr>
        <w:pBdr>
          <w:top w:val="nil"/>
          <w:left w:val="nil"/>
          <w:bottom w:val="nil"/>
          <w:right w:val="nil"/>
          <w:between w:val="nil"/>
        </w:pBdr>
        <w:spacing w:line="240" w:lineRule="auto"/>
        <w:ind w:hanging="2"/>
        <w:jc w:val="center"/>
        <w:rPr>
          <w:rFonts w:ascii="Arial" w:eastAsia="Arial" w:hAnsi="Arial" w:cs="Arial"/>
          <w:color w:val="auto"/>
          <w:szCs w:val="22"/>
        </w:rPr>
      </w:pPr>
    </w:p>
    <w:p w14:paraId="2B73D101" w14:textId="77777777" w:rsidR="000F434D" w:rsidRPr="00BE32C7" w:rsidRDefault="000F434D" w:rsidP="000F434D">
      <w:pPr>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revisione ha rilevato che i contratti sopra indicati </w:t>
      </w:r>
      <w:r w:rsidRPr="00BE32C7">
        <w:rPr>
          <w:rFonts w:ascii="Arial" w:eastAsia="Arial" w:hAnsi="Arial" w:cs="Arial"/>
          <w:b/>
          <w:color w:val="auto"/>
          <w:szCs w:val="22"/>
        </w:rPr>
        <w:t>non sono/sono</w:t>
      </w:r>
      <w:r w:rsidRPr="00BE32C7">
        <w:rPr>
          <w:rFonts w:ascii="Arial" w:eastAsia="Arial" w:hAnsi="Arial" w:cs="Arial"/>
          <w:color w:val="auto"/>
          <w:szCs w:val="22"/>
        </w:rPr>
        <w:t xml:space="preserve"> considerabili come indebitamento sulla base delle indicazioni RGS-ANAC.</w:t>
      </w:r>
    </w:p>
    <w:p w14:paraId="1525D06F"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66B9E739" w14:textId="0E47A2A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l’Ente </w:t>
      </w:r>
      <w:r w:rsidRPr="00BE32C7">
        <w:rPr>
          <w:rFonts w:ascii="Arial" w:eastAsia="Arial" w:hAnsi="Arial" w:cs="Arial"/>
          <w:b/>
          <w:bCs/>
          <w:color w:val="auto"/>
          <w:szCs w:val="22"/>
        </w:rPr>
        <w:t>ha caricato/non ha caricato</w:t>
      </w:r>
      <w:r w:rsidRPr="00BE32C7">
        <w:rPr>
          <w:rFonts w:ascii="Arial" w:eastAsia="Arial" w:hAnsi="Arial" w:cs="Arial"/>
          <w:color w:val="auto"/>
          <w:szCs w:val="22"/>
        </w:rPr>
        <w:t xml:space="preserve"> tutti i contratti sulla nuova piattaforma Dipe-RGS come indicato dalla FAQ </w:t>
      </w:r>
      <w:r w:rsidR="00172F6C" w:rsidRPr="00BE32C7">
        <w:rPr>
          <w:rFonts w:ascii="Arial" w:eastAsia="Arial" w:hAnsi="Arial" w:cs="Arial"/>
          <w:color w:val="auto"/>
          <w:szCs w:val="22"/>
        </w:rPr>
        <w:t xml:space="preserve">n. </w:t>
      </w:r>
      <w:r w:rsidRPr="00BE32C7">
        <w:rPr>
          <w:rFonts w:ascii="Arial" w:eastAsia="Arial" w:hAnsi="Arial" w:cs="Arial"/>
          <w:color w:val="auto"/>
          <w:szCs w:val="22"/>
        </w:rPr>
        <w:t>50 di Arconet.</w:t>
      </w:r>
    </w:p>
    <w:p w14:paraId="268F39BF" w14:textId="65F9AF3A" w:rsidR="00172F6C" w:rsidRPr="00BE32C7" w:rsidRDefault="00172F6C" w:rsidP="000F434D">
      <w:pPr>
        <w:pBdr>
          <w:top w:val="nil"/>
          <w:left w:val="nil"/>
          <w:bottom w:val="nil"/>
          <w:right w:val="nil"/>
          <w:between w:val="nil"/>
        </w:pBdr>
        <w:spacing w:line="240" w:lineRule="auto"/>
        <w:ind w:hanging="2"/>
        <w:rPr>
          <w:rFonts w:ascii="Arial" w:eastAsia="Arial" w:hAnsi="Arial" w:cs="Arial"/>
          <w:color w:val="auto"/>
          <w:szCs w:val="22"/>
          <w:highlight w:val="white"/>
        </w:rPr>
      </w:pPr>
      <w:r w:rsidRPr="00BE32C7">
        <w:rPr>
          <w:rFonts w:ascii="Arial" w:eastAsia="Arial" w:hAnsi="Arial" w:cs="Arial"/>
          <w:color w:val="auto"/>
          <w:szCs w:val="22"/>
        </w:rPr>
        <w:t>Nel caso in cui l’Ente abbia sottoscritto contratti di servizio energia EPC (</w:t>
      </w:r>
      <w:r w:rsidRPr="00BE32C7">
        <w:rPr>
          <w:rFonts w:ascii="Arial" w:eastAsia="Arial" w:hAnsi="Arial" w:cs="Arial"/>
          <w:i/>
          <w:iCs/>
          <w:color w:val="auto"/>
          <w:szCs w:val="22"/>
        </w:rPr>
        <w:t>Energy Perfo</w:t>
      </w:r>
      <w:r w:rsidR="00C35E20" w:rsidRPr="00BE32C7">
        <w:rPr>
          <w:rFonts w:ascii="Arial" w:eastAsia="Arial" w:hAnsi="Arial" w:cs="Arial"/>
          <w:i/>
          <w:iCs/>
          <w:color w:val="auto"/>
          <w:szCs w:val="22"/>
        </w:rPr>
        <w:t>r</w:t>
      </w:r>
      <w:r w:rsidRPr="00BE32C7">
        <w:rPr>
          <w:rFonts w:ascii="Arial" w:eastAsia="Arial" w:hAnsi="Arial" w:cs="Arial"/>
          <w:i/>
          <w:iCs/>
          <w:color w:val="auto"/>
          <w:szCs w:val="22"/>
        </w:rPr>
        <w:t>mance Contract</w:t>
      </w:r>
      <w:r w:rsidRPr="00BE32C7">
        <w:rPr>
          <w:rFonts w:ascii="Arial" w:eastAsia="Arial" w:hAnsi="Arial" w:cs="Arial"/>
          <w:color w:val="auto"/>
          <w:szCs w:val="22"/>
        </w:rPr>
        <w:t xml:space="preserve">), l’Organo di revisione ha verificato che le previsioni di bilancio </w:t>
      </w:r>
      <w:r w:rsidRPr="00BE32C7">
        <w:rPr>
          <w:rFonts w:ascii="Arial" w:eastAsia="Arial" w:hAnsi="Arial" w:cs="Arial"/>
          <w:b/>
          <w:bCs/>
          <w:color w:val="auto"/>
          <w:szCs w:val="22"/>
        </w:rPr>
        <w:t>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no/non 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w:t>
      </w:r>
      <w:r w:rsidRPr="00BE32C7">
        <w:rPr>
          <w:rFonts w:ascii="Arial" w:eastAsia="Arial" w:hAnsi="Arial" w:cs="Arial"/>
          <w:color w:val="auto"/>
          <w:szCs w:val="22"/>
        </w:rPr>
        <w:t xml:space="preserve"> la corretta contabilizzazione della quota di manutenzione straordinaria come indicato dalla FAQ n. 52 di Arconet.</w:t>
      </w:r>
    </w:p>
    <w:p w14:paraId="609F2FC0" w14:textId="77F325AF" w:rsidR="000F434D" w:rsidRDefault="00BC1BB3" w:rsidP="00583C01">
      <w:pPr>
        <w:pStyle w:val="Titolo1"/>
        <w:numPr>
          <w:ilvl w:val="0"/>
          <w:numId w:val="0"/>
        </w:numPr>
        <w:ind w:left="357" w:hanging="357"/>
      </w:pPr>
      <w:bookmarkStart w:id="64" w:name="_Toc219808177"/>
      <w:r>
        <w:t>8</w:t>
      </w:r>
      <w:r w:rsidR="00583C01" w:rsidRPr="00867831">
        <w:t xml:space="preserve">. </w:t>
      </w:r>
      <w:r w:rsidR="00583C01">
        <w:t>FONDI E ACCANTONAMENTI</w:t>
      </w:r>
      <w:bookmarkEnd w:id="64"/>
    </w:p>
    <w:p w14:paraId="55F7D475" w14:textId="178F92BA"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5" w:name="_Toc219808178"/>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.1. </w:t>
      </w:r>
      <w:r w:rsidR="000F434D" w:rsidRPr="00B96B45">
        <w:rPr>
          <w:rFonts w:ascii="Calibri" w:eastAsiaTheme="majorEastAsia" w:hAnsi="Calibri" w:cs="Times New Roman (Titoli CS)"/>
          <w:b/>
          <w:i/>
          <w:iCs/>
          <w:color w:val="C00000"/>
          <w:sz w:val="28"/>
          <w:szCs w:val="40"/>
        </w:rPr>
        <w:t>Fondo di riserva di competenza</w:t>
      </w:r>
      <w:bookmarkEnd w:id="65"/>
    </w:p>
    <w:p w14:paraId="1F9E6213" w14:textId="5BE56623"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previsione del fondo di riserva ordinario, iscritto nella missione 20, programma 1, titolo 1, </w:t>
      </w:r>
      <w:r w:rsidR="00D12016">
        <w:rPr>
          <w:rFonts w:ascii="Arial" w:eastAsia="Arial" w:hAnsi="Arial" w:cs="Arial"/>
          <w:color w:val="000000"/>
          <w:szCs w:val="22"/>
        </w:rPr>
        <w:t>macro aggregato</w:t>
      </w:r>
      <w:r>
        <w:rPr>
          <w:rFonts w:ascii="Arial" w:eastAsia="Arial" w:hAnsi="Arial" w:cs="Arial"/>
          <w:color w:val="000000"/>
          <w:szCs w:val="22"/>
        </w:rPr>
        <w:t xml:space="preserve"> 10 del bilancio, ammonta a:</w:t>
      </w:r>
    </w:p>
    <w:p w14:paraId="1A253704" w14:textId="01EAC0F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DB2D30">
        <w:rPr>
          <w:rFonts w:ascii="Arial" w:eastAsia="Arial" w:hAnsi="Arial" w:cs="Arial"/>
          <w:color w:val="000000"/>
          <w:szCs w:val="22"/>
        </w:rPr>
        <w:t>6</w:t>
      </w:r>
      <w:r>
        <w:rPr>
          <w:rFonts w:ascii="Arial" w:eastAsia="Arial" w:hAnsi="Arial" w:cs="Arial"/>
          <w:color w:val="000000"/>
          <w:szCs w:val="22"/>
        </w:rPr>
        <w:t xml:space="preserve"> - euro ……… pari allo ……% delle spese correnti;</w:t>
      </w:r>
    </w:p>
    <w:p w14:paraId="20BC4C34" w14:textId="6EC67945"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DB2D30">
        <w:rPr>
          <w:rFonts w:ascii="Arial" w:eastAsia="Arial" w:hAnsi="Arial" w:cs="Arial"/>
          <w:color w:val="000000"/>
          <w:szCs w:val="22"/>
        </w:rPr>
        <w:t>7</w:t>
      </w:r>
      <w:r>
        <w:rPr>
          <w:rFonts w:ascii="Arial" w:eastAsia="Arial" w:hAnsi="Arial" w:cs="Arial"/>
          <w:color w:val="000000"/>
          <w:szCs w:val="22"/>
        </w:rPr>
        <w:t xml:space="preserve"> - euro ……… pari allo ……% delle spese correnti;</w:t>
      </w:r>
    </w:p>
    <w:p w14:paraId="72C41FC2" w14:textId="300AB73C"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DB2D30">
        <w:rPr>
          <w:rFonts w:ascii="Arial" w:eastAsia="Arial" w:hAnsi="Arial" w:cs="Arial"/>
          <w:color w:val="000000"/>
          <w:szCs w:val="22"/>
        </w:rPr>
        <w:t>8</w:t>
      </w:r>
      <w:r>
        <w:rPr>
          <w:rFonts w:ascii="Arial" w:eastAsia="Arial" w:hAnsi="Arial" w:cs="Arial"/>
          <w:color w:val="000000"/>
          <w:szCs w:val="22"/>
        </w:rPr>
        <w:t xml:space="preserve"> - euro ……… pari allo ……% delle spese correnti;</w:t>
      </w:r>
    </w:p>
    <w:p w14:paraId="69035082"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e rientra nei limiti previsti dall’articolo 166 del </w:t>
      </w:r>
      <w:r w:rsidRPr="00472455">
        <w:rPr>
          <w:rFonts w:ascii="Arial" w:eastAsia="Arial" w:hAnsi="Arial" w:cs="Arial"/>
          <w:bCs/>
          <w:iCs/>
          <w:color w:val="000000"/>
          <w:sz w:val="20"/>
          <w:szCs w:val="20"/>
        </w:rPr>
        <w:t>TUEL</w:t>
      </w:r>
      <w:r>
        <w:rPr>
          <w:rFonts w:ascii="Arial" w:eastAsia="Arial" w:hAnsi="Arial" w:cs="Arial"/>
          <w:color w:val="000000"/>
          <w:szCs w:val="22"/>
        </w:rPr>
        <w:t xml:space="preserve"> ed in quelli previsti dal regolamento di contabilità.</w:t>
      </w:r>
    </w:p>
    <w:p w14:paraId="3F346EF5"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71783EC9" w14:textId="77777777" w:rsidR="005B1FBB" w:rsidRPr="00143D71" w:rsidRDefault="005B1FBB"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p>
    <w:p w14:paraId="59917DC6" w14:textId="77777777" w:rsidR="000F434D" w:rsidRPr="00C347F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bCs/>
          <w:i/>
          <w:color w:val="00B0F0"/>
          <w:szCs w:val="22"/>
        </w:rPr>
      </w:pPr>
      <w:r w:rsidRPr="00C347FB">
        <w:rPr>
          <w:rFonts w:ascii="Arial" w:eastAsia="Arial" w:hAnsi="Arial" w:cs="Arial"/>
          <w:b/>
          <w:bCs/>
          <w:i/>
          <w:color w:val="00B0F0"/>
          <w:szCs w:val="22"/>
        </w:rPr>
        <w:t>N.B.</w:t>
      </w:r>
      <w:r>
        <w:rPr>
          <w:rFonts w:ascii="Arial" w:eastAsia="Arial" w:hAnsi="Arial" w:cs="Arial"/>
          <w:i/>
          <w:color w:val="00B0F0"/>
          <w:szCs w:val="22"/>
        </w:rPr>
        <w:t xml:space="preserve"> </w:t>
      </w:r>
      <w:r w:rsidRPr="00C347FB">
        <w:rPr>
          <w:rFonts w:ascii="Arial" w:eastAsia="Arial" w:hAnsi="Arial" w:cs="Arial"/>
          <w:b/>
          <w:bCs/>
          <w:i/>
          <w:color w:val="00B0F0"/>
          <w:szCs w:val="22"/>
        </w:rPr>
        <w:t>La quota minima è dello 0,30% oppure dello 0,45% (nelle situazioni di cui all’art. 195 o 222 del TUEL) e la quota massima è pari al 2% del totale delle spese correnti di competenza.</w:t>
      </w:r>
    </w:p>
    <w:p w14:paraId="3D930DCA" w14:textId="77777777" w:rsidR="000F434D" w:rsidRPr="00143D71" w:rsidRDefault="000F434D" w:rsidP="000F434D">
      <w:pPr>
        <w:pBdr>
          <w:top w:val="nil"/>
          <w:left w:val="nil"/>
          <w:bottom w:val="nil"/>
          <w:right w:val="nil"/>
          <w:between w:val="nil"/>
        </w:pBdr>
        <w:spacing w:line="240" w:lineRule="auto"/>
        <w:ind w:hanging="2"/>
        <w:rPr>
          <w:rFonts w:ascii="Arial" w:eastAsia="Arial" w:hAnsi="Arial" w:cs="Arial"/>
          <w:b/>
          <w:bCs/>
          <w:color w:val="00B0F0"/>
          <w:szCs w:val="22"/>
        </w:rPr>
      </w:pPr>
      <w:r w:rsidRPr="00143D71">
        <w:rPr>
          <w:rFonts w:ascii="Arial" w:eastAsia="Arial" w:hAnsi="Arial" w:cs="Arial"/>
          <w:b/>
          <w:bCs/>
          <w:i/>
          <w:color w:val="00B0F0"/>
          <w:szCs w:val="22"/>
        </w:rPr>
        <w:t>La metà della quota minima del fondo di riserva deve essere riservata alla copertura di eventuali spese non prevedibili, la cui mancata effettuazione comporta danni certi all’amministrazione.</w:t>
      </w:r>
    </w:p>
    <w:p w14:paraId="7C53B548" w14:textId="59B98C01" w:rsidR="000F434D" w:rsidRPr="00B96B45" w:rsidRDefault="00BC1BB3" w:rsidP="00B96B45">
      <w:pPr>
        <w:pBdr>
          <w:top w:val="nil"/>
          <w:left w:val="nil"/>
          <w:bottom w:val="nil"/>
          <w:right w:val="nil"/>
          <w:between w:val="nil"/>
        </w:pBdr>
        <w:spacing w:line="240" w:lineRule="auto"/>
        <w:ind w:left="6" w:hanging="6"/>
        <w:outlineLvl w:val="0"/>
        <w:rPr>
          <w:rFonts w:ascii="Cambria" w:eastAsia="Cambria" w:hAnsi="Cambria" w:cs="Cambria"/>
          <w:b/>
          <w:i/>
          <w:iCs/>
          <w:color w:val="000000"/>
          <w:sz w:val="26"/>
          <w:szCs w:val="26"/>
        </w:rPr>
      </w:pPr>
      <w:bookmarkStart w:id="66" w:name="_Toc219808179"/>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.2. Fondo di riserva di cassa</w:t>
      </w:r>
      <w:bookmarkEnd w:id="66"/>
    </w:p>
    <w:p w14:paraId="325E81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6E96CB71" w14:textId="373731CD"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l’</w:t>
      </w:r>
      <w:r w:rsidR="0016197D">
        <w:rPr>
          <w:rFonts w:ascii="Arial" w:eastAsia="Arial" w:hAnsi="Arial" w:cs="Arial"/>
          <w:color w:val="000000"/>
          <w:szCs w:val="22"/>
        </w:rPr>
        <w:t>E</w:t>
      </w:r>
      <w:r>
        <w:rPr>
          <w:rFonts w:ascii="Arial" w:eastAsia="Arial" w:hAnsi="Arial" w:cs="Arial"/>
          <w:color w:val="000000"/>
          <w:szCs w:val="22"/>
        </w:rPr>
        <w:t xml:space="preserve">nte nella missione 20, programma 1 </w:t>
      </w:r>
      <w:r w:rsidRPr="00377468">
        <w:rPr>
          <w:rFonts w:ascii="Arial" w:eastAsia="Arial" w:hAnsi="Arial" w:cs="Arial"/>
          <w:b/>
          <w:iCs/>
          <w:color w:val="000000"/>
          <w:szCs w:val="22"/>
        </w:rPr>
        <w:t>ha stanziato/non ha stanziato</w:t>
      </w:r>
      <w:r>
        <w:rPr>
          <w:rFonts w:ascii="Arial" w:eastAsia="Arial" w:hAnsi="Arial" w:cs="Arial"/>
          <w:color w:val="000000"/>
          <w:szCs w:val="22"/>
        </w:rPr>
        <w:t xml:space="preserve"> il fondo di riserva di cassa per un importo pari ad euro ……</w:t>
      </w:r>
    </w:p>
    <w:p w14:paraId="2A07A0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i/>
          <w:color w:val="17365D"/>
          <w:szCs w:val="22"/>
        </w:rPr>
      </w:pPr>
      <w:r>
        <w:rPr>
          <w:rFonts w:ascii="Arial" w:eastAsia="Arial" w:hAnsi="Arial" w:cs="Arial"/>
          <w:color w:val="000000"/>
          <w:szCs w:val="22"/>
        </w:rPr>
        <w:t xml:space="preserve">- la consistenza del fondo di riserva di cassa </w:t>
      </w:r>
      <w:r w:rsidRPr="00377468">
        <w:rPr>
          <w:rFonts w:ascii="Arial" w:eastAsia="Arial" w:hAnsi="Arial" w:cs="Arial"/>
          <w:b/>
          <w:iCs/>
          <w:color w:val="000000"/>
          <w:szCs w:val="22"/>
        </w:rPr>
        <w:t>rientra/non rientra</w:t>
      </w:r>
      <w:r>
        <w:rPr>
          <w:rFonts w:ascii="Arial" w:eastAsia="Arial" w:hAnsi="Arial" w:cs="Arial"/>
          <w:color w:val="000000"/>
          <w:szCs w:val="22"/>
        </w:rPr>
        <w:t xml:space="preserve"> nei limiti di cui all’art. 166, comma 2 quater del TUEL. </w:t>
      </w:r>
      <w:r>
        <w:rPr>
          <w:rFonts w:ascii="Arial" w:eastAsia="Arial" w:hAnsi="Arial" w:cs="Arial"/>
          <w:i/>
          <w:color w:val="17365D"/>
          <w:szCs w:val="22"/>
        </w:rPr>
        <w:t>(</w:t>
      </w:r>
      <w:r>
        <w:rPr>
          <w:rFonts w:ascii="Arial" w:eastAsia="Arial" w:hAnsi="Arial" w:cs="Arial"/>
          <w:i/>
          <w:color w:val="00B0F0"/>
          <w:szCs w:val="22"/>
        </w:rPr>
        <w:t>non inferiore allo 0,2 per cento delle spese finali</w:t>
      </w:r>
      <w:r>
        <w:rPr>
          <w:rFonts w:ascii="Arial" w:eastAsia="Arial" w:hAnsi="Arial" w:cs="Arial"/>
          <w:i/>
          <w:color w:val="17365D"/>
          <w:szCs w:val="22"/>
        </w:rPr>
        <w:t>)</w:t>
      </w:r>
    </w:p>
    <w:p w14:paraId="01A0FD5D"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E704924" w14:textId="3F33C5B6"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7" w:name="_Toc219808180"/>
      <w:r w:rsidRPr="00B96B45">
        <w:rPr>
          <w:rFonts w:ascii="Calibri" w:eastAsiaTheme="majorEastAsia" w:hAnsi="Calibri" w:cs="Times New Roman (Titoli CS)"/>
          <w:b/>
          <w:i/>
          <w:iCs/>
          <w:color w:val="C00000"/>
          <w:sz w:val="28"/>
          <w:szCs w:val="40"/>
        </w:rPr>
        <w:lastRenderedPageBreak/>
        <w:t>8</w:t>
      </w:r>
      <w:r w:rsidR="002A0A97" w:rsidRPr="00B96B45">
        <w:rPr>
          <w:rFonts w:ascii="Calibri" w:eastAsiaTheme="majorEastAsia" w:hAnsi="Calibri" w:cs="Times New Roman (Titoli CS)"/>
          <w:b/>
          <w:i/>
          <w:iCs/>
          <w:color w:val="C00000"/>
          <w:sz w:val="28"/>
          <w:szCs w:val="40"/>
        </w:rPr>
        <w:t xml:space="preserve">.3. </w:t>
      </w:r>
      <w:r w:rsidR="000F434D" w:rsidRPr="00B96B45">
        <w:rPr>
          <w:rFonts w:ascii="Calibri" w:eastAsiaTheme="majorEastAsia" w:hAnsi="Calibri" w:cs="Times New Roman (Titoli CS)"/>
          <w:b/>
          <w:i/>
          <w:iCs/>
          <w:color w:val="C00000"/>
          <w:sz w:val="28"/>
          <w:szCs w:val="40"/>
        </w:rPr>
        <w:t>Fondo crediti di dubbia esigibilità (FCDE)</w:t>
      </w:r>
      <w:bookmarkEnd w:id="67"/>
    </w:p>
    <w:p w14:paraId="18B2945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15F1941E" w14:textId="77C04423" w:rsidR="000F434D" w:rsidRPr="00BE32C7" w:rsidRDefault="000F434D"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nella missione 20, programma 2 è presente un accantonamento al fondo crediti di dubbia esigibilità (FCDE) </w:t>
      </w:r>
      <w:r w:rsidR="0091260C">
        <w:rPr>
          <w:rFonts w:ascii="Arial" w:eastAsia="Arial" w:hAnsi="Arial" w:cs="Arial"/>
          <w:color w:val="000000"/>
          <w:szCs w:val="22"/>
        </w:rPr>
        <w:t>così dettagliato:</w:t>
      </w:r>
    </w:p>
    <w:p w14:paraId="1C99B447" w14:textId="33E5ED6E" w:rsidR="0091260C" w:rsidRPr="006A3916" w:rsidRDefault="0091260C" w:rsidP="009126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6A3916">
        <w:rPr>
          <w:rFonts w:ascii="Arial" w:eastAsia="Arial" w:hAnsi="Arial" w:cs="Arial"/>
          <w:b/>
          <w:bCs/>
          <w:noProof/>
          <w:color w:val="000000"/>
          <w:szCs w:val="22"/>
        </w:rPr>
        <w:t>TABELLA 16</w:t>
      </w:r>
    </w:p>
    <w:p w14:paraId="6E26B383" w14:textId="4FA5C1DD" w:rsidR="000F434D" w:rsidRPr="00BB1C0C" w:rsidRDefault="000F434D" w:rsidP="0091260C">
      <w:pPr>
        <w:widowControl w:val="0"/>
        <w:pBdr>
          <w:top w:val="nil"/>
          <w:left w:val="nil"/>
          <w:bottom w:val="nil"/>
          <w:right w:val="nil"/>
          <w:between w:val="nil"/>
        </w:pBdr>
        <w:spacing w:line="240" w:lineRule="auto"/>
        <w:ind w:leftChars="353" w:left="779" w:hanging="2"/>
        <w:rPr>
          <w:rFonts w:ascii="Arial" w:eastAsia="Arial" w:hAnsi="Arial" w:cs="Arial"/>
          <w:szCs w:val="22"/>
        </w:rPr>
      </w:pPr>
    </w:p>
    <w:p w14:paraId="5DC18D71" w14:textId="77777777" w:rsidR="000F434D" w:rsidRDefault="000F434D">
      <w:pPr>
        <w:pStyle w:val="Paragrafoelenco"/>
        <w:widowControl w:val="0"/>
        <w:numPr>
          <w:ilvl w:val="0"/>
          <w:numId w:val="11"/>
        </w:numPr>
        <w:pBdr>
          <w:top w:val="nil"/>
          <w:left w:val="nil"/>
          <w:bottom w:val="nil"/>
          <w:right w:val="nil"/>
          <w:between w:val="nil"/>
        </w:pBdr>
        <w:suppressAutoHyphens/>
        <w:spacing w:after="0" w:line="240" w:lineRule="auto"/>
        <w:jc w:val="both"/>
        <w:textDirection w:val="btLr"/>
        <w:textAlignment w:val="top"/>
        <w:rPr>
          <w:rFonts w:ascii="Arial" w:eastAsia="Arial" w:hAnsi="Arial" w:cs="Arial"/>
          <w:color w:val="000000"/>
        </w:rPr>
      </w:pPr>
      <w:r>
        <w:rPr>
          <w:rFonts w:ascii="Arial" w:eastAsia="Arial" w:hAnsi="Arial" w:cs="Arial"/>
          <w:color w:val="000000"/>
        </w:rPr>
        <w:t>g</w:t>
      </w:r>
      <w:r w:rsidRPr="00BB1C0C">
        <w:rPr>
          <w:rFonts w:ascii="Arial" w:eastAsia="Arial" w:hAnsi="Arial" w:cs="Arial"/>
          <w:color w:val="000000"/>
        </w:rPr>
        <w:t xml:space="preserve">li importi accantonati nella missione 20, programma 2, </w:t>
      </w:r>
      <w:r w:rsidRPr="00E71A9B">
        <w:rPr>
          <w:rFonts w:ascii="Arial" w:eastAsia="Arial" w:hAnsi="Arial" w:cs="Arial"/>
          <w:b/>
          <w:bCs/>
          <w:color w:val="000000"/>
        </w:rPr>
        <w:t>corrispondono/non corrispondono</w:t>
      </w:r>
      <w:r w:rsidRPr="00BB1C0C">
        <w:rPr>
          <w:rFonts w:ascii="Arial" w:eastAsia="Arial" w:hAnsi="Arial" w:cs="Arial"/>
          <w:color w:val="000000"/>
        </w:rPr>
        <w:t xml:space="preserve"> con quanto riportano nell’allegato c), colonna c).</w:t>
      </w:r>
    </w:p>
    <w:p w14:paraId="655C14C5" w14:textId="77777777" w:rsidR="000F434D" w:rsidRDefault="000F434D" w:rsidP="000F434D">
      <w:pPr>
        <w:widowControl w:val="0"/>
        <w:pBdr>
          <w:top w:val="nil"/>
          <w:left w:val="nil"/>
          <w:bottom w:val="nil"/>
          <w:right w:val="nil"/>
          <w:between w:val="nil"/>
        </w:pBdr>
        <w:spacing w:line="240" w:lineRule="auto"/>
        <w:rPr>
          <w:rFonts w:ascii="Arial" w:eastAsia="Arial" w:hAnsi="Arial" w:cs="Arial"/>
          <w:color w:val="000000"/>
          <w:szCs w:val="22"/>
        </w:rPr>
      </w:pPr>
    </w:p>
    <w:p w14:paraId="1895B8EA"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119C62F5" w14:textId="77777777" w:rsidR="00C701E4" w:rsidRPr="00E717FF" w:rsidRDefault="00C701E4" w:rsidP="000F434D">
      <w:pPr>
        <w:widowControl w:val="0"/>
        <w:pBdr>
          <w:top w:val="nil"/>
          <w:left w:val="nil"/>
          <w:bottom w:val="nil"/>
          <w:right w:val="nil"/>
          <w:between w:val="nil"/>
        </w:pBdr>
        <w:spacing w:line="240" w:lineRule="auto"/>
        <w:rPr>
          <w:rFonts w:ascii="Arial" w:eastAsia="Arial" w:hAnsi="Arial" w:cs="Arial"/>
          <w:color w:val="000000"/>
          <w:szCs w:val="22"/>
        </w:rPr>
      </w:pPr>
    </w:p>
    <w:p w14:paraId="261AC5F6" w14:textId="48EA34CC" w:rsidR="009516BB" w:rsidRDefault="000F434D" w:rsidP="000F434D">
      <w:pPr>
        <w:widowControl w:val="0"/>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color w:val="000000"/>
          <w:szCs w:val="22"/>
        </w:rPr>
        <w:t xml:space="preserve">L’Organo di revisione </w:t>
      </w:r>
      <w:r w:rsidRPr="00E71A9B">
        <w:rPr>
          <w:rFonts w:ascii="Arial" w:eastAsia="Arial" w:hAnsi="Arial" w:cs="Arial"/>
          <w:bCs/>
          <w:color w:val="000000"/>
          <w:szCs w:val="22"/>
        </w:rPr>
        <w:t>ha verificat</w:t>
      </w:r>
      <w:r w:rsidR="009516BB">
        <w:rPr>
          <w:rFonts w:ascii="Arial" w:eastAsia="Arial" w:hAnsi="Arial" w:cs="Arial"/>
          <w:bCs/>
          <w:color w:val="000000"/>
          <w:szCs w:val="22"/>
        </w:rPr>
        <w:t>o:</w:t>
      </w:r>
    </w:p>
    <w:p w14:paraId="307E5827" w14:textId="55CC2F31"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 xml:space="preserve">- </w:t>
      </w:r>
      <w:r w:rsidR="000F434D">
        <w:rPr>
          <w:rFonts w:ascii="Arial" w:eastAsia="Arial" w:hAnsi="Arial" w:cs="Arial"/>
          <w:bCs/>
          <w:color w:val="000000"/>
          <w:szCs w:val="22"/>
        </w:rPr>
        <w:t xml:space="preserve"> </w:t>
      </w:r>
      <w:r w:rsidR="000F434D">
        <w:rPr>
          <w:rFonts w:ascii="Arial" w:eastAsia="Arial" w:hAnsi="Arial" w:cs="Arial"/>
          <w:color w:val="000000"/>
          <w:szCs w:val="22"/>
        </w:rPr>
        <w:t>la regolarità del calcolo del fondo crediti dubbia esigibilità ed il rispetto dell’accantonamento per l’intero importo.</w:t>
      </w:r>
    </w:p>
    <w:p w14:paraId="368F0182" w14:textId="679C1B17" w:rsidR="000F434D" w:rsidRPr="00143D71"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Cs w:val="22"/>
        </w:rPr>
      </w:pPr>
      <w:r w:rsidRPr="00143D71">
        <w:rPr>
          <w:rFonts w:ascii="Arial" w:eastAsia="Arial" w:hAnsi="Arial" w:cs="Arial"/>
          <w:i/>
          <w:color w:val="00B0F0"/>
          <w:szCs w:val="22"/>
        </w:rPr>
        <w:t>In caso di mancato rispetto fornire le motivazioni:</w:t>
      </w:r>
      <w:r w:rsidR="009A5514">
        <w:rPr>
          <w:rFonts w:ascii="Arial" w:eastAsia="Arial" w:hAnsi="Arial" w:cs="Arial"/>
          <w:i/>
          <w:color w:val="00B0F0"/>
          <w:szCs w:val="22"/>
        </w:rPr>
        <w:t xml:space="preserve"> </w:t>
      </w:r>
      <w:r w:rsidRPr="00143D71">
        <w:rPr>
          <w:rFonts w:ascii="Arial" w:eastAsia="Arial" w:hAnsi="Arial" w:cs="Arial"/>
          <w:i/>
          <w:color w:val="00B0F0"/>
          <w:szCs w:val="22"/>
        </w:rPr>
        <w:t>………………………………</w:t>
      </w:r>
    </w:p>
    <w:p w14:paraId="6885A978" w14:textId="0DA28B78"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Cs/>
          <w:color w:val="000000"/>
          <w:szCs w:val="22"/>
        </w:rPr>
        <w:t xml:space="preserve">- </w:t>
      </w:r>
      <w:r>
        <w:rPr>
          <w:rFonts w:ascii="Arial" w:eastAsia="Arial" w:hAnsi="Arial" w:cs="Arial"/>
          <w:color w:val="000000"/>
          <w:szCs w:val="22"/>
        </w:rPr>
        <w:t>che l</w:t>
      </w:r>
      <w:r w:rsidR="000F434D">
        <w:rPr>
          <w:rFonts w:ascii="Arial" w:eastAsia="Arial" w:hAnsi="Arial" w:cs="Arial"/>
          <w:color w:val="000000"/>
          <w:szCs w:val="22"/>
        </w:rPr>
        <w:t xml:space="preserve">’Ente </w:t>
      </w:r>
      <w:r w:rsidR="000F434D" w:rsidRPr="00BC1BB3">
        <w:rPr>
          <w:rFonts w:ascii="Arial" w:eastAsia="Arial" w:hAnsi="Arial" w:cs="Arial"/>
          <w:b/>
          <w:bCs/>
          <w:color w:val="000000"/>
          <w:szCs w:val="22"/>
        </w:rPr>
        <w:t>ha utilizzato/non</w:t>
      </w:r>
      <w:r w:rsidR="000F434D" w:rsidRPr="00BC1BB3">
        <w:rPr>
          <w:rFonts w:ascii="Arial" w:eastAsia="Arial" w:hAnsi="Arial" w:cs="Arial"/>
          <w:color w:val="000000"/>
          <w:szCs w:val="22"/>
        </w:rPr>
        <w:t xml:space="preserve"> </w:t>
      </w:r>
      <w:r w:rsidR="000F434D" w:rsidRPr="00BC1BB3">
        <w:rPr>
          <w:rFonts w:ascii="Arial" w:eastAsia="Arial" w:hAnsi="Arial" w:cs="Arial"/>
          <w:b/>
          <w:bCs/>
          <w:color w:val="000000"/>
          <w:szCs w:val="22"/>
        </w:rPr>
        <w:t>ha utilizzato</w:t>
      </w:r>
      <w:r w:rsidR="000F434D">
        <w:rPr>
          <w:rFonts w:ascii="Arial" w:eastAsia="Arial" w:hAnsi="Arial" w:cs="Arial"/>
          <w:color w:val="000000"/>
          <w:szCs w:val="22"/>
        </w:rPr>
        <w:t xml:space="preserve"> il metodo ordinario</w:t>
      </w:r>
      <w:r>
        <w:rPr>
          <w:rFonts w:ascii="Arial" w:eastAsia="Arial" w:hAnsi="Arial" w:cs="Arial"/>
          <w:color w:val="000000"/>
          <w:szCs w:val="22"/>
        </w:rPr>
        <w:t>;</w:t>
      </w:r>
    </w:p>
    <w:p w14:paraId="1EEB1790" w14:textId="7765389D" w:rsidR="00172F6C" w:rsidRDefault="009516BB" w:rsidP="005C01E7">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che l</w:t>
      </w:r>
      <w:r w:rsidR="005C01E7" w:rsidRPr="005C01E7">
        <w:rPr>
          <w:rFonts w:ascii="Arial" w:eastAsia="Arial" w:hAnsi="Arial" w:cs="Arial"/>
          <w:color w:val="000000"/>
          <w:szCs w:val="22"/>
        </w:rPr>
        <w:t>’</w:t>
      </w:r>
      <w:r w:rsidR="005C01E7">
        <w:rPr>
          <w:rFonts w:ascii="Arial" w:eastAsia="Arial" w:hAnsi="Arial" w:cs="Arial"/>
          <w:color w:val="000000"/>
          <w:szCs w:val="22"/>
        </w:rPr>
        <w:t>E</w:t>
      </w:r>
      <w:r w:rsidR="005C01E7" w:rsidRPr="005C01E7">
        <w:rPr>
          <w:rFonts w:ascii="Arial" w:eastAsia="Arial" w:hAnsi="Arial" w:cs="Arial"/>
          <w:color w:val="000000"/>
          <w:szCs w:val="22"/>
        </w:rPr>
        <w:t xml:space="preserve">nte per calcolare le percentuali ha utilizzato </w:t>
      </w:r>
      <w:r w:rsidR="00172F6C">
        <w:rPr>
          <w:rFonts w:ascii="Arial" w:eastAsia="Arial" w:hAnsi="Arial" w:cs="Arial"/>
          <w:color w:val="000000"/>
          <w:szCs w:val="22"/>
        </w:rPr>
        <w:t>uno dei tre metodi consentiti come definiti dall’esempio n. 5 del principio contabile All. 4/2 alla luce delle indicazioni contenute nell’aggiornamento dello stesso principio in seguito al DM del 25/07/2023.</w:t>
      </w:r>
    </w:p>
    <w:p w14:paraId="7E20FA38" w14:textId="6AC828AE" w:rsidR="009C074F" w:rsidRPr="00143D71" w:rsidRDefault="009C074F" w:rsidP="009C074F">
      <w:pPr>
        <w:widowControl w:val="0"/>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i/>
          <w:color w:val="00B0F0"/>
          <w:szCs w:val="22"/>
        </w:rPr>
        <w:t>Specifica</w:t>
      </w:r>
      <w:r w:rsidR="00BE32C7">
        <w:rPr>
          <w:rFonts w:ascii="Arial" w:eastAsia="Arial" w:hAnsi="Arial" w:cs="Arial"/>
          <w:i/>
          <w:color w:val="00B0F0"/>
          <w:szCs w:val="22"/>
        </w:rPr>
        <w:t>r</w:t>
      </w:r>
      <w:r>
        <w:rPr>
          <w:rFonts w:ascii="Arial" w:eastAsia="Arial" w:hAnsi="Arial" w:cs="Arial"/>
          <w:i/>
          <w:color w:val="00B0F0"/>
          <w:szCs w:val="22"/>
        </w:rPr>
        <w:t>e quale metodo:</w:t>
      </w:r>
      <w:r w:rsidR="009A5514">
        <w:rPr>
          <w:rFonts w:ascii="Arial" w:eastAsia="Arial" w:hAnsi="Arial" w:cs="Arial"/>
          <w:i/>
          <w:color w:val="00B0F0"/>
          <w:szCs w:val="22"/>
        </w:rPr>
        <w:t xml:space="preserve"> </w:t>
      </w:r>
      <w:r>
        <w:rPr>
          <w:rFonts w:ascii="Arial" w:eastAsia="Arial" w:hAnsi="Arial" w:cs="Arial"/>
          <w:i/>
          <w:color w:val="00B0F0"/>
          <w:szCs w:val="22"/>
        </w:rPr>
        <w:t>……..</w:t>
      </w:r>
    </w:p>
    <w:p w14:paraId="5F47A4F9" w14:textId="3E7B2AFD" w:rsidR="005C01E7" w:rsidRDefault="009516BB" w:rsidP="00E1450A">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’Ente nella scelta del livello di analisi ha fatto riferimento alle tipologie/categorie/capitoli (</w:t>
      </w:r>
      <w:r w:rsidR="005C01E7" w:rsidRPr="00BE32C7">
        <w:rPr>
          <w:rFonts w:ascii="Arial" w:eastAsia="Arial" w:hAnsi="Arial" w:cs="Arial"/>
          <w:i/>
          <w:iCs/>
          <w:color w:val="auto"/>
          <w:szCs w:val="22"/>
        </w:rPr>
        <w:t>specificare</w:t>
      </w:r>
      <w:r w:rsidR="005C01E7" w:rsidRPr="00BE32C7">
        <w:rPr>
          <w:rFonts w:ascii="Arial" w:eastAsia="Arial" w:hAnsi="Arial" w:cs="Arial"/>
          <w:color w:val="auto"/>
          <w:szCs w:val="22"/>
        </w:rPr>
        <w:t>)</w:t>
      </w:r>
      <w:r w:rsidR="009F2F63">
        <w:rPr>
          <w:rFonts w:ascii="Arial" w:eastAsia="Arial" w:hAnsi="Arial" w:cs="Arial"/>
          <w:color w:val="auto"/>
          <w:szCs w:val="22"/>
        </w:rPr>
        <w:t>:</w:t>
      </w:r>
    </w:p>
    <w:tbl>
      <w:tblPr>
        <w:tblStyle w:val="Grigliatabella"/>
        <w:tblW w:w="0" w:type="auto"/>
        <w:tblLook w:val="04A0" w:firstRow="1" w:lastRow="0" w:firstColumn="1" w:lastColumn="0" w:noHBand="0" w:noVBand="1"/>
      </w:tblPr>
      <w:tblGrid>
        <w:gridCol w:w="6941"/>
        <w:gridCol w:w="2119"/>
      </w:tblGrid>
      <w:tr w:rsidR="00145E1F" w14:paraId="005B6250" w14:textId="77777777" w:rsidTr="00145E1F">
        <w:tc>
          <w:tcPr>
            <w:tcW w:w="6941" w:type="dxa"/>
          </w:tcPr>
          <w:p w14:paraId="6C0A6A71" w14:textId="1353C194"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Tipologie</w:t>
            </w:r>
          </w:p>
        </w:tc>
        <w:tc>
          <w:tcPr>
            <w:tcW w:w="2119" w:type="dxa"/>
          </w:tcPr>
          <w:p w14:paraId="66A26DC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79899760" w14:textId="77777777" w:rsidTr="00145E1F">
        <w:tc>
          <w:tcPr>
            <w:tcW w:w="6941" w:type="dxa"/>
          </w:tcPr>
          <w:p w14:paraId="4CD74ECF" w14:textId="2FD655AD"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Categorie</w:t>
            </w:r>
          </w:p>
        </w:tc>
        <w:tc>
          <w:tcPr>
            <w:tcW w:w="2119" w:type="dxa"/>
          </w:tcPr>
          <w:p w14:paraId="7AF73A6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43C60F03" w14:textId="77777777" w:rsidTr="00145E1F">
        <w:tc>
          <w:tcPr>
            <w:tcW w:w="6941" w:type="dxa"/>
          </w:tcPr>
          <w:p w14:paraId="2E81432C" w14:textId="5DEB3132"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Capitoli</w:t>
            </w:r>
          </w:p>
        </w:tc>
        <w:tc>
          <w:tcPr>
            <w:tcW w:w="2119" w:type="dxa"/>
          </w:tcPr>
          <w:p w14:paraId="2FFACE38"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bl>
    <w:p w14:paraId="0819E766" w14:textId="77777777" w:rsidR="00145E1F" w:rsidRDefault="00145E1F" w:rsidP="00E1450A">
      <w:pPr>
        <w:widowControl w:val="0"/>
        <w:pBdr>
          <w:top w:val="nil"/>
          <w:left w:val="nil"/>
          <w:bottom w:val="nil"/>
          <w:right w:val="nil"/>
          <w:between w:val="nil"/>
        </w:pBdr>
        <w:spacing w:line="240" w:lineRule="auto"/>
        <w:rPr>
          <w:rFonts w:ascii="Arial" w:eastAsia="Arial" w:hAnsi="Arial" w:cs="Arial"/>
          <w:color w:val="auto"/>
          <w:szCs w:val="22"/>
        </w:rPr>
      </w:pPr>
    </w:p>
    <w:p w14:paraId="0458C9A4" w14:textId="028E44F4"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 xml:space="preserve">a nota integrativa </w:t>
      </w:r>
      <w:r w:rsidR="005C01E7" w:rsidRPr="00BE32C7">
        <w:rPr>
          <w:rFonts w:ascii="Arial" w:eastAsia="Arial" w:hAnsi="Arial" w:cs="Arial"/>
          <w:b/>
          <w:bCs/>
          <w:color w:val="auto"/>
          <w:szCs w:val="22"/>
        </w:rPr>
        <w:t>fornisce/non fornisce</w:t>
      </w:r>
      <w:r w:rsidR="005C01E7" w:rsidRPr="00BE32C7">
        <w:rPr>
          <w:rFonts w:ascii="Arial" w:eastAsia="Arial" w:hAnsi="Arial" w:cs="Arial"/>
          <w:color w:val="auto"/>
          <w:szCs w:val="22"/>
        </w:rPr>
        <w:t xml:space="preserve"> adeguata illustrazione delle entrate che l'Ente non ha considerato di dubbia e difficile esazione e per le quali non si è provveduto all'accantonamento al Fondo crediti di dubbia esigibilità (FCDE).</w:t>
      </w:r>
      <w:r w:rsidR="005C01E7" w:rsidRPr="005C01E7">
        <w:rPr>
          <w:rFonts w:ascii="Arial" w:eastAsia="Arial" w:hAnsi="Arial" w:cs="Arial"/>
          <w:color w:val="000000"/>
          <w:szCs w:val="22"/>
        </w:rPr>
        <w:t xml:space="preserve"> (</w:t>
      </w:r>
      <w:r w:rsidR="005C01E7" w:rsidRPr="005319D1">
        <w:rPr>
          <w:rFonts w:ascii="Arial" w:eastAsia="Arial" w:hAnsi="Arial" w:cs="Arial"/>
          <w:i/>
          <w:iCs/>
          <w:color w:val="00B0F0"/>
          <w:szCs w:val="22"/>
        </w:rPr>
        <w:t>fornire specifica indicazione delle entrate</w:t>
      </w:r>
      <w:r w:rsidR="005C01E7" w:rsidRPr="005C01E7">
        <w:rPr>
          <w:rFonts w:ascii="Arial" w:eastAsia="Arial" w:hAnsi="Arial" w:cs="Arial"/>
          <w:color w:val="000000"/>
          <w:szCs w:val="22"/>
        </w:rPr>
        <w:t>)</w:t>
      </w:r>
      <w:r>
        <w:rPr>
          <w:rFonts w:ascii="Arial" w:eastAsia="Arial" w:hAnsi="Arial" w:cs="Arial"/>
          <w:color w:val="000000"/>
          <w:szCs w:val="22"/>
        </w:rPr>
        <w:t>;</w:t>
      </w:r>
    </w:p>
    <w:p w14:paraId="5D3C5711" w14:textId="28367D6F"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w:t>
      </w:r>
      <w:r w:rsidRPr="00BE32C7">
        <w:rPr>
          <w:rFonts w:ascii="Arial" w:eastAsia="Arial" w:hAnsi="Arial" w:cs="Arial"/>
          <w:color w:val="auto"/>
          <w:szCs w:val="22"/>
        </w:rPr>
        <w:t>che l</w:t>
      </w:r>
      <w:r w:rsidR="000F434D" w:rsidRPr="00BE32C7">
        <w:rPr>
          <w:rFonts w:ascii="Arial" w:eastAsia="Arial" w:hAnsi="Arial" w:cs="Arial"/>
          <w:color w:val="auto"/>
          <w:szCs w:val="22"/>
        </w:rPr>
        <w:t xml:space="preserve">’Ente </w:t>
      </w:r>
      <w:r w:rsidR="000F434D" w:rsidRPr="00BE32C7">
        <w:rPr>
          <w:rFonts w:ascii="Arial" w:eastAsia="Arial" w:hAnsi="Arial" w:cs="Arial"/>
          <w:b/>
          <w:bCs/>
          <w:color w:val="auto"/>
          <w:szCs w:val="22"/>
        </w:rPr>
        <w:t>si è avvalso/non si è avvalso</w:t>
      </w:r>
      <w:r w:rsidR="000F434D" w:rsidRPr="00BE32C7">
        <w:rPr>
          <w:rFonts w:ascii="Arial" w:eastAsia="Arial" w:hAnsi="Arial" w:cs="Arial"/>
          <w:color w:val="auto"/>
          <w:szCs w:val="22"/>
        </w:rPr>
        <w:t xml:space="preserve"> della c.d. “regola del +1” come da FAQ 26/27 di Arconet</w:t>
      </w:r>
      <w:r w:rsidR="009C074F" w:rsidRPr="00BE32C7">
        <w:rPr>
          <w:rFonts w:ascii="Arial" w:eastAsia="Arial" w:hAnsi="Arial" w:cs="Arial"/>
          <w:color w:val="auto"/>
          <w:szCs w:val="22"/>
        </w:rPr>
        <w:t xml:space="preserve"> e </w:t>
      </w:r>
      <w:r w:rsidR="00625DD6" w:rsidRPr="00BE32C7">
        <w:rPr>
          <w:rFonts w:ascii="Arial" w:eastAsia="Arial" w:hAnsi="Arial" w:cs="Arial"/>
          <w:color w:val="auto"/>
          <w:szCs w:val="22"/>
        </w:rPr>
        <w:t>come anche indicato</w:t>
      </w:r>
      <w:r w:rsidR="009C074F" w:rsidRPr="00BE32C7">
        <w:rPr>
          <w:rFonts w:ascii="Arial" w:eastAsia="Arial" w:hAnsi="Arial" w:cs="Arial"/>
          <w:color w:val="auto"/>
          <w:szCs w:val="22"/>
        </w:rPr>
        <w:t xml:space="preserve"> nell’esempio n. 5 del principio contabile All. 4/2 (alla luce delle indicazioni contenute nell’aggiornamento dello stesso principio in seguito al DM del 25/07/2023) </w:t>
      </w:r>
      <w:r w:rsidR="009C074F" w:rsidRPr="00472455">
        <w:rPr>
          <w:rFonts w:ascii="Arial" w:eastAsia="Arial" w:hAnsi="Arial" w:cs="Arial"/>
          <w:color w:val="auto"/>
          <w:szCs w:val="22"/>
        </w:rPr>
        <w:t>che prevede la possibilità di determinare il rapporto tra incassi di competenza e i relativi accertamenti, considerando tra gli incassi anche le riscossioni effettuate nell’anno successivo  in conto residui dell’anno precedente</w:t>
      </w:r>
      <w:r w:rsidRPr="00BE32C7">
        <w:rPr>
          <w:rFonts w:ascii="Arial" w:eastAsia="Arial" w:hAnsi="Arial" w:cs="Arial"/>
          <w:color w:val="auto"/>
          <w:szCs w:val="22"/>
        </w:rPr>
        <w:t>;</w:t>
      </w:r>
    </w:p>
    <w:p w14:paraId="653367CB" w14:textId="02DA13CD"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l</w:t>
      </w:r>
      <w:r w:rsidR="000F434D" w:rsidRPr="00BE32C7">
        <w:rPr>
          <w:rFonts w:ascii="Arial" w:eastAsia="Arial" w:hAnsi="Arial" w:cs="Arial"/>
          <w:color w:val="auto"/>
          <w:szCs w:val="22"/>
        </w:rPr>
        <w:t xml:space="preserve">’Ente ai fini del calcolo della media </w:t>
      </w:r>
      <w:r w:rsidR="000F434D" w:rsidRPr="00BE32C7">
        <w:rPr>
          <w:rFonts w:ascii="Arial" w:eastAsia="Arial" w:hAnsi="Arial" w:cs="Arial"/>
          <w:b/>
          <w:bCs/>
          <w:color w:val="auto"/>
          <w:szCs w:val="22"/>
        </w:rPr>
        <w:t xml:space="preserve">si è/non si è </w:t>
      </w:r>
      <w:r w:rsidR="000F434D" w:rsidRPr="00472455">
        <w:rPr>
          <w:rFonts w:ascii="Arial" w:eastAsia="Arial" w:hAnsi="Arial" w:cs="Arial"/>
          <w:color w:val="auto"/>
          <w:szCs w:val="22"/>
        </w:rPr>
        <w:t>avvalso</w:t>
      </w:r>
      <w:r w:rsidR="000F434D" w:rsidRPr="00BE32C7">
        <w:rPr>
          <w:rFonts w:ascii="Arial" w:eastAsia="Arial" w:hAnsi="Arial" w:cs="Arial"/>
          <w:color w:val="auto"/>
          <w:szCs w:val="22"/>
        </w:rPr>
        <w:t xml:space="preserve"> nel bilancio di previsione, della facoltà (art. 107 bis DL 18/2020 modificato dall’art. 30-bis DL 41/21) di effettuare il calcolo </w:t>
      </w:r>
      <w:r w:rsidR="000F434D" w:rsidRPr="00BE32C7">
        <w:rPr>
          <w:rFonts w:ascii="Arial" w:eastAsia="Arial" w:hAnsi="Arial" w:cs="Arial"/>
          <w:color w:val="auto"/>
          <w:szCs w:val="22"/>
        </w:rPr>
        <w:lastRenderedPageBreak/>
        <w:t>dell’ultimo quinquennio per le entrate del titolo 1 e 3 con i dati del 2019 in luogo di quelli del 2020 e del 2021.</w:t>
      </w:r>
    </w:p>
    <w:p w14:paraId="69F25F4A" w14:textId="77777777" w:rsidR="00B20AB3" w:rsidRPr="004B4CFE" w:rsidRDefault="00B20AB3" w:rsidP="00B20AB3">
      <w:pPr>
        <w:spacing w:line="240" w:lineRule="auto"/>
        <w:ind w:hanging="2"/>
        <w:rPr>
          <w:rFonts w:ascii="Arial" w:eastAsia="Arial" w:hAnsi="Arial" w:cs="Arial"/>
          <w:color w:val="auto"/>
          <w:szCs w:val="22"/>
        </w:rPr>
      </w:pPr>
    </w:p>
    <w:p w14:paraId="7508DFE0" w14:textId="3466BF24" w:rsidR="00B20AB3" w:rsidRPr="00B20AB3" w:rsidRDefault="00CE60CD" w:rsidP="00CE60CD">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L</w:t>
      </w:r>
      <w:r w:rsidR="00B20AB3" w:rsidRPr="00C667C0">
        <w:rPr>
          <w:rFonts w:ascii="Arial" w:eastAsia="Arial" w:hAnsi="Arial" w:cs="Arial"/>
          <w:i/>
          <w:iCs/>
          <w:color w:val="auto"/>
          <w:szCs w:val="22"/>
        </w:rPr>
        <w:t>’art.</w:t>
      </w:r>
      <w:r w:rsidR="00B20AB3">
        <w:rPr>
          <w:rFonts w:ascii="Arial" w:eastAsia="Arial" w:hAnsi="Arial" w:cs="Arial"/>
          <w:i/>
          <w:iCs/>
          <w:color w:val="auto"/>
          <w:szCs w:val="22"/>
        </w:rPr>
        <w:t xml:space="preserve">1 comma </w:t>
      </w:r>
      <w:r>
        <w:rPr>
          <w:rFonts w:ascii="Arial" w:eastAsia="Arial" w:hAnsi="Arial" w:cs="Arial"/>
          <w:i/>
          <w:iCs/>
          <w:color w:val="auto"/>
          <w:szCs w:val="22"/>
        </w:rPr>
        <w:t>659 lett. a e b)</w:t>
      </w:r>
      <w:r w:rsidR="00160626">
        <w:rPr>
          <w:rFonts w:ascii="Arial" w:eastAsia="Arial" w:hAnsi="Arial" w:cs="Arial"/>
          <w:i/>
          <w:iCs/>
          <w:color w:val="auto"/>
          <w:szCs w:val="22"/>
        </w:rPr>
        <w:t xml:space="preserve"> </w:t>
      </w:r>
      <w:r w:rsidR="0055406F">
        <w:rPr>
          <w:rFonts w:ascii="Arial" w:eastAsia="Arial" w:hAnsi="Arial" w:cs="Arial"/>
          <w:i/>
          <w:iCs/>
          <w:color w:val="auto"/>
          <w:szCs w:val="22"/>
        </w:rPr>
        <w:t xml:space="preserve">della Legge di bilancio 2026 </w:t>
      </w:r>
      <w:r w:rsidR="00160626" w:rsidRPr="00C667C0">
        <w:rPr>
          <w:rFonts w:ascii="Arial" w:eastAsia="Arial" w:hAnsi="Arial" w:cs="Arial"/>
          <w:i/>
          <w:iCs/>
          <w:color w:val="auto"/>
          <w:szCs w:val="22"/>
        </w:rPr>
        <w:t>dispone</w:t>
      </w:r>
      <w:r w:rsidR="00B20AB3">
        <w:rPr>
          <w:rFonts w:ascii="Arial" w:eastAsia="Arial" w:hAnsi="Arial" w:cs="Arial"/>
          <w:i/>
          <w:iCs/>
          <w:color w:val="auto"/>
          <w:szCs w:val="22"/>
        </w:rPr>
        <w:t xml:space="preserve"> che e</w:t>
      </w:r>
      <w:r w:rsidR="00B20AB3" w:rsidRPr="00B20AB3">
        <w:rPr>
          <w:rFonts w:ascii="Arial" w:eastAsia="Arial" w:hAnsi="Arial" w:cs="Arial"/>
          <w:i/>
          <w:iCs/>
          <w:color w:val="auto"/>
          <w:szCs w:val="22"/>
        </w:rPr>
        <w:t xml:space="preserve">ntro il 31 marzo 2026, </w:t>
      </w:r>
      <w:r w:rsidRPr="00CE60CD">
        <w:rPr>
          <w:rFonts w:ascii="Arial" w:eastAsia="Arial" w:hAnsi="Arial" w:cs="Arial"/>
          <w:i/>
          <w:iCs/>
          <w:color w:val="auto"/>
          <w:szCs w:val="22"/>
        </w:rPr>
        <w:t>ai sensi degli articoli 3, comma 6, e</w:t>
      </w:r>
      <w:r>
        <w:rPr>
          <w:rFonts w:ascii="Arial" w:eastAsia="Arial" w:hAnsi="Arial" w:cs="Arial"/>
          <w:i/>
          <w:iCs/>
          <w:color w:val="auto"/>
          <w:szCs w:val="22"/>
        </w:rPr>
        <w:t xml:space="preserve"> </w:t>
      </w:r>
      <w:r w:rsidRPr="00CE60CD">
        <w:rPr>
          <w:rFonts w:ascii="Arial" w:eastAsia="Arial" w:hAnsi="Arial" w:cs="Arial"/>
          <w:i/>
          <w:iCs/>
          <w:color w:val="auto"/>
          <w:szCs w:val="22"/>
        </w:rPr>
        <w:t>11, comma 11, del decreto legislativo 23 giugno 2011, n. 118, con</w:t>
      </w:r>
      <w:r>
        <w:rPr>
          <w:rFonts w:ascii="Arial" w:eastAsia="Arial" w:hAnsi="Arial" w:cs="Arial"/>
          <w:i/>
          <w:iCs/>
          <w:color w:val="auto"/>
          <w:szCs w:val="22"/>
        </w:rPr>
        <w:t xml:space="preserve"> </w:t>
      </w:r>
      <w:r w:rsidRPr="00CE60CD">
        <w:rPr>
          <w:rFonts w:ascii="Arial" w:eastAsia="Arial" w:hAnsi="Arial" w:cs="Arial"/>
          <w:i/>
          <w:iCs/>
          <w:color w:val="auto"/>
          <w:szCs w:val="22"/>
        </w:rPr>
        <w:t xml:space="preserve">decreto del Ministero dell'economia e delle finanze </w:t>
      </w:r>
      <w:r>
        <w:rPr>
          <w:rFonts w:ascii="Arial" w:eastAsia="Arial" w:hAnsi="Arial" w:cs="Arial"/>
          <w:i/>
          <w:iCs/>
          <w:color w:val="auto"/>
          <w:szCs w:val="22"/>
        </w:rPr>
        <w:t>–</w:t>
      </w:r>
      <w:r w:rsidRPr="00CE60CD">
        <w:rPr>
          <w:rFonts w:ascii="Arial" w:eastAsia="Arial" w:hAnsi="Arial" w:cs="Arial"/>
          <w:i/>
          <w:iCs/>
          <w:color w:val="auto"/>
          <w:szCs w:val="22"/>
        </w:rPr>
        <w:t xml:space="preserve"> Dipartimento</w:t>
      </w:r>
      <w:r>
        <w:rPr>
          <w:rFonts w:ascii="Arial" w:eastAsia="Arial" w:hAnsi="Arial" w:cs="Arial"/>
          <w:i/>
          <w:iCs/>
          <w:color w:val="auto"/>
          <w:szCs w:val="22"/>
        </w:rPr>
        <w:t xml:space="preserve"> </w:t>
      </w:r>
      <w:r w:rsidRPr="00CE60CD">
        <w:rPr>
          <w:rFonts w:ascii="Arial" w:eastAsia="Arial" w:hAnsi="Arial" w:cs="Arial"/>
          <w:i/>
          <w:iCs/>
          <w:color w:val="auto"/>
          <w:szCs w:val="22"/>
        </w:rPr>
        <w:t>della Ragioneria generale dello Stato, di concerto con il Ministero</w:t>
      </w:r>
      <w:r>
        <w:rPr>
          <w:rFonts w:ascii="Arial" w:eastAsia="Arial" w:hAnsi="Arial" w:cs="Arial"/>
          <w:i/>
          <w:iCs/>
          <w:color w:val="auto"/>
          <w:szCs w:val="22"/>
        </w:rPr>
        <w:t xml:space="preserve"> </w:t>
      </w:r>
      <w:r w:rsidRPr="00CE60CD">
        <w:rPr>
          <w:rFonts w:ascii="Arial" w:eastAsia="Arial" w:hAnsi="Arial" w:cs="Arial"/>
          <w:i/>
          <w:iCs/>
          <w:color w:val="auto"/>
          <w:szCs w:val="22"/>
        </w:rPr>
        <w:t>dell'interno - Dipartimento per gli affari interni e territoriali e</w:t>
      </w:r>
      <w:r>
        <w:rPr>
          <w:rFonts w:ascii="Arial" w:eastAsia="Arial" w:hAnsi="Arial" w:cs="Arial"/>
          <w:i/>
          <w:iCs/>
          <w:color w:val="auto"/>
          <w:szCs w:val="22"/>
        </w:rPr>
        <w:t xml:space="preserve"> </w:t>
      </w:r>
      <w:r w:rsidRPr="00CE60CD">
        <w:rPr>
          <w:rFonts w:ascii="Arial" w:eastAsia="Arial" w:hAnsi="Arial" w:cs="Arial"/>
          <w:i/>
          <w:iCs/>
          <w:color w:val="auto"/>
          <w:szCs w:val="22"/>
        </w:rPr>
        <w:t>la Presidenza del Consiglio dei ministri - Dipartimento per gli</w:t>
      </w:r>
      <w:r>
        <w:rPr>
          <w:rFonts w:ascii="Arial" w:eastAsia="Arial" w:hAnsi="Arial" w:cs="Arial"/>
          <w:i/>
          <w:iCs/>
          <w:color w:val="auto"/>
          <w:szCs w:val="22"/>
        </w:rPr>
        <w:t xml:space="preserve"> </w:t>
      </w:r>
      <w:r w:rsidRPr="00CE60CD">
        <w:rPr>
          <w:rFonts w:ascii="Arial" w:eastAsia="Arial" w:hAnsi="Arial" w:cs="Arial"/>
          <w:i/>
          <w:iCs/>
          <w:color w:val="auto"/>
          <w:szCs w:val="22"/>
        </w:rPr>
        <w:t>affari regionali e le autonomie, su proposta della Commissione per</w:t>
      </w:r>
      <w:r>
        <w:rPr>
          <w:rFonts w:ascii="Arial" w:eastAsia="Arial" w:hAnsi="Arial" w:cs="Arial"/>
          <w:i/>
          <w:iCs/>
          <w:color w:val="auto"/>
          <w:szCs w:val="22"/>
        </w:rPr>
        <w:t xml:space="preserve"> </w:t>
      </w:r>
      <w:r w:rsidRPr="00CE60CD">
        <w:rPr>
          <w:rFonts w:ascii="Arial" w:eastAsia="Arial" w:hAnsi="Arial" w:cs="Arial"/>
          <w:i/>
          <w:iCs/>
          <w:color w:val="auto"/>
          <w:szCs w:val="22"/>
        </w:rPr>
        <w:t>l'armonizzazione degli enti territoriali di cui all'articolo 3-bis</w:t>
      </w:r>
      <w:r>
        <w:rPr>
          <w:rFonts w:ascii="Arial" w:eastAsia="Arial" w:hAnsi="Arial" w:cs="Arial"/>
          <w:i/>
          <w:iCs/>
          <w:color w:val="auto"/>
          <w:szCs w:val="22"/>
        </w:rPr>
        <w:t xml:space="preserve"> </w:t>
      </w:r>
      <w:r w:rsidRPr="00CE60CD">
        <w:rPr>
          <w:rFonts w:ascii="Arial" w:eastAsia="Arial" w:hAnsi="Arial" w:cs="Arial"/>
          <w:i/>
          <w:iCs/>
          <w:color w:val="auto"/>
          <w:szCs w:val="22"/>
        </w:rPr>
        <w:t>del citato decreto legislativo n. 118 del 2011,</w:t>
      </w:r>
      <w:r>
        <w:rPr>
          <w:rFonts w:ascii="Arial" w:eastAsia="Arial" w:hAnsi="Arial" w:cs="Arial"/>
          <w:i/>
          <w:iCs/>
          <w:color w:val="auto"/>
          <w:szCs w:val="22"/>
        </w:rPr>
        <w:t xml:space="preserve"> </w:t>
      </w:r>
      <w:r w:rsidR="000C04F1">
        <w:rPr>
          <w:rFonts w:ascii="Arial" w:eastAsia="Arial" w:hAnsi="Arial" w:cs="Arial"/>
          <w:i/>
          <w:iCs/>
          <w:color w:val="auto"/>
          <w:szCs w:val="22"/>
        </w:rPr>
        <w:t>vengano aggiornati con DM i principi</w:t>
      </w:r>
      <w:r w:rsidR="00B20AB3" w:rsidRPr="00B20AB3">
        <w:rPr>
          <w:rFonts w:ascii="Arial" w:eastAsia="Arial" w:hAnsi="Arial" w:cs="Arial"/>
          <w:i/>
          <w:iCs/>
          <w:color w:val="auto"/>
          <w:szCs w:val="22"/>
        </w:rPr>
        <w:t>i 4/1 e 4/2</w:t>
      </w:r>
      <w:r w:rsidR="000C04F1">
        <w:rPr>
          <w:rFonts w:ascii="Arial" w:eastAsia="Arial" w:hAnsi="Arial" w:cs="Arial"/>
          <w:i/>
          <w:iCs/>
          <w:color w:val="auto"/>
          <w:szCs w:val="22"/>
        </w:rPr>
        <w:t>:</w:t>
      </w:r>
    </w:p>
    <w:p w14:paraId="6A35FC22" w14:textId="77777777" w:rsidR="00B20AB3" w:rsidRDefault="00B20AB3"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B20AB3">
        <w:rPr>
          <w:rFonts w:ascii="Arial" w:eastAsia="Arial" w:hAnsi="Arial" w:cs="Arial"/>
          <w:i/>
          <w:iCs/>
          <w:color w:val="auto"/>
          <w:szCs w:val="22"/>
        </w:rPr>
        <w:t>a) per consentire la determinazione degli accantonamenti al fondo crediti di dubbia</w:t>
      </w:r>
      <w:r>
        <w:rPr>
          <w:rFonts w:ascii="Arial" w:eastAsia="Arial" w:hAnsi="Arial" w:cs="Arial"/>
          <w:i/>
          <w:iCs/>
          <w:color w:val="auto"/>
          <w:szCs w:val="22"/>
        </w:rPr>
        <w:t xml:space="preserve"> </w:t>
      </w:r>
      <w:r w:rsidRPr="00B20AB3">
        <w:rPr>
          <w:rFonts w:ascii="Arial" w:eastAsia="Arial" w:hAnsi="Arial" w:cs="Arial"/>
          <w:i/>
          <w:iCs/>
          <w:color w:val="auto"/>
          <w:szCs w:val="22"/>
        </w:rPr>
        <w:t>esigibilità stanziati nel bilancio di previsione delle città metropolitane, delle province, dei</w:t>
      </w:r>
      <w:r>
        <w:rPr>
          <w:rFonts w:ascii="Arial" w:eastAsia="Arial" w:hAnsi="Arial" w:cs="Arial"/>
          <w:i/>
          <w:iCs/>
          <w:color w:val="auto"/>
          <w:szCs w:val="22"/>
        </w:rPr>
        <w:t xml:space="preserve"> </w:t>
      </w:r>
      <w:r w:rsidRPr="00B20AB3">
        <w:rPr>
          <w:rFonts w:ascii="Arial" w:eastAsia="Arial" w:hAnsi="Arial" w:cs="Arial"/>
          <w:i/>
          <w:iCs/>
          <w:color w:val="auto"/>
          <w:szCs w:val="22"/>
        </w:rPr>
        <w:t>comuni e delle unioni di comuni sulla base del risultato dell’esercizio in cui è stato</w:t>
      </w:r>
      <w:r>
        <w:rPr>
          <w:rFonts w:ascii="Arial" w:eastAsia="Arial" w:hAnsi="Arial" w:cs="Arial"/>
          <w:i/>
          <w:iCs/>
          <w:color w:val="auto"/>
          <w:szCs w:val="22"/>
        </w:rPr>
        <w:t xml:space="preserve"> </w:t>
      </w:r>
      <w:r w:rsidRPr="00B20AB3">
        <w:rPr>
          <w:rFonts w:ascii="Arial" w:eastAsia="Arial" w:hAnsi="Arial" w:cs="Arial"/>
          <w:i/>
          <w:iCs/>
          <w:color w:val="auto"/>
          <w:szCs w:val="22"/>
        </w:rPr>
        <w:t>accertato un miglioramento della capacità di riscossione rispetto alla media del triennio</w:t>
      </w:r>
      <w:r>
        <w:rPr>
          <w:rFonts w:ascii="Arial" w:eastAsia="Arial" w:hAnsi="Arial" w:cs="Arial"/>
          <w:i/>
          <w:iCs/>
          <w:color w:val="auto"/>
          <w:szCs w:val="22"/>
        </w:rPr>
        <w:t xml:space="preserve"> </w:t>
      </w:r>
      <w:r w:rsidRPr="00B20AB3">
        <w:rPr>
          <w:rFonts w:ascii="Arial" w:eastAsia="Arial" w:hAnsi="Arial" w:cs="Arial"/>
          <w:i/>
          <w:iCs/>
          <w:color w:val="auto"/>
          <w:szCs w:val="22"/>
        </w:rPr>
        <w:t>precedente, compreso l’esercizio cui il rendiconto si riferisce, e a seguito della formale</w:t>
      </w:r>
      <w:r>
        <w:rPr>
          <w:rFonts w:ascii="Arial" w:eastAsia="Arial" w:hAnsi="Arial" w:cs="Arial"/>
          <w:i/>
          <w:iCs/>
          <w:color w:val="auto"/>
          <w:szCs w:val="22"/>
        </w:rPr>
        <w:t xml:space="preserve"> </w:t>
      </w:r>
      <w:r w:rsidRPr="00B20AB3">
        <w:rPr>
          <w:rFonts w:ascii="Arial" w:eastAsia="Arial" w:hAnsi="Arial" w:cs="Arial"/>
          <w:i/>
          <w:iCs/>
          <w:color w:val="auto"/>
          <w:szCs w:val="22"/>
        </w:rPr>
        <w:t>attivazione di un progetto, almeno triennale, diretto a rendere strutturale il miglioramento</w:t>
      </w:r>
      <w:r>
        <w:rPr>
          <w:rFonts w:ascii="Arial" w:eastAsia="Arial" w:hAnsi="Arial" w:cs="Arial"/>
          <w:i/>
          <w:iCs/>
          <w:color w:val="auto"/>
          <w:szCs w:val="22"/>
        </w:rPr>
        <w:t xml:space="preserve"> </w:t>
      </w:r>
      <w:r w:rsidRPr="00B20AB3">
        <w:rPr>
          <w:rFonts w:ascii="Arial" w:eastAsia="Arial" w:hAnsi="Arial" w:cs="Arial"/>
          <w:i/>
          <w:iCs/>
          <w:color w:val="auto"/>
          <w:szCs w:val="22"/>
        </w:rPr>
        <w:t>accertato. La prima determinazione del FCDE sulla base dei risultati di un solo esercizio è</w:t>
      </w:r>
      <w:r>
        <w:rPr>
          <w:rFonts w:ascii="Arial" w:eastAsia="Arial" w:hAnsi="Arial" w:cs="Arial"/>
          <w:i/>
          <w:iCs/>
          <w:color w:val="auto"/>
          <w:szCs w:val="22"/>
        </w:rPr>
        <w:t xml:space="preserve"> </w:t>
      </w:r>
      <w:r w:rsidRPr="00B20AB3">
        <w:rPr>
          <w:rFonts w:ascii="Arial" w:eastAsia="Arial" w:hAnsi="Arial" w:cs="Arial"/>
          <w:i/>
          <w:iCs/>
          <w:color w:val="auto"/>
          <w:szCs w:val="22"/>
        </w:rPr>
        <w:t>consentita solo in sede di approvazione dei bilanci di previsione 2027-2029, 2028-2030 e</w:t>
      </w:r>
      <w:r>
        <w:rPr>
          <w:rFonts w:ascii="Arial" w:eastAsia="Arial" w:hAnsi="Arial" w:cs="Arial"/>
          <w:i/>
          <w:iCs/>
          <w:color w:val="auto"/>
          <w:szCs w:val="22"/>
        </w:rPr>
        <w:t xml:space="preserve"> </w:t>
      </w:r>
      <w:r w:rsidRPr="00B20AB3">
        <w:rPr>
          <w:rFonts w:ascii="Arial" w:eastAsia="Arial" w:hAnsi="Arial" w:cs="Arial"/>
          <w:i/>
          <w:iCs/>
          <w:color w:val="auto"/>
          <w:szCs w:val="22"/>
        </w:rPr>
        <w:t>2029-2031, con facoltà di anticiparla esclusivamente in sede di assestamento del bilancio</w:t>
      </w:r>
      <w:r>
        <w:rPr>
          <w:rFonts w:ascii="Arial" w:eastAsia="Arial" w:hAnsi="Arial" w:cs="Arial"/>
          <w:i/>
          <w:iCs/>
          <w:color w:val="auto"/>
          <w:szCs w:val="22"/>
        </w:rPr>
        <w:t xml:space="preserve"> </w:t>
      </w:r>
      <w:r w:rsidRPr="00B20AB3">
        <w:rPr>
          <w:rFonts w:ascii="Arial" w:eastAsia="Arial" w:hAnsi="Arial" w:cs="Arial"/>
          <w:i/>
          <w:iCs/>
          <w:color w:val="auto"/>
          <w:szCs w:val="22"/>
        </w:rPr>
        <w:t>di previsione 2026-2028, restando esclusa per gli assestamenti dei bilanci successivi;</w:t>
      </w:r>
    </w:p>
    <w:p w14:paraId="0EBCD535" w14:textId="59FB9027" w:rsidR="00B20AB3" w:rsidRDefault="00B20AB3"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B20AB3">
        <w:rPr>
          <w:rFonts w:ascii="Arial" w:eastAsia="Arial" w:hAnsi="Arial" w:cs="Arial"/>
          <w:i/>
          <w:iCs/>
          <w:color w:val="auto"/>
          <w:szCs w:val="22"/>
        </w:rPr>
        <w:t>b) per garantire il monitoraggio dell’attuazione delle disposizioni di cui alla lettera a)</w:t>
      </w:r>
      <w:r w:rsidR="0059751B">
        <w:rPr>
          <w:rFonts w:ascii="Arial" w:eastAsia="Arial" w:hAnsi="Arial" w:cs="Arial"/>
          <w:i/>
          <w:iCs/>
          <w:color w:val="auto"/>
          <w:szCs w:val="22"/>
        </w:rPr>
        <w:t>.</w:t>
      </w:r>
    </w:p>
    <w:p w14:paraId="3B3E8E08" w14:textId="448531B4" w:rsidR="00921A8C" w:rsidRPr="00B20AB3" w:rsidRDefault="00921A8C"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 xml:space="preserve">Si sottolinea che </w:t>
      </w:r>
      <w:r w:rsidRPr="00921A8C">
        <w:rPr>
          <w:rFonts w:ascii="Arial" w:eastAsia="Arial" w:hAnsi="Arial" w:cs="Arial"/>
          <w:i/>
          <w:iCs/>
          <w:color w:val="auto"/>
          <w:szCs w:val="22"/>
        </w:rPr>
        <w:t xml:space="preserve">l’applicazione di </w:t>
      </w:r>
      <w:r>
        <w:rPr>
          <w:rFonts w:ascii="Arial" w:eastAsia="Arial" w:hAnsi="Arial" w:cs="Arial"/>
          <w:i/>
          <w:iCs/>
          <w:color w:val="auto"/>
          <w:szCs w:val="22"/>
        </w:rPr>
        <w:t>questa</w:t>
      </w:r>
      <w:r w:rsidRPr="00921A8C">
        <w:rPr>
          <w:rFonts w:ascii="Arial" w:eastAsia="Arial" w:hAnsi="Arial" w:cs="Arial"/>
          <w:i/>
          <w:iCs/>
          <w:color w:val="auto"/>
          <w:szCs w:val="22"/>
        </w:rPr>
        <w:t xml:space="preserve"> disposizione è prevista, a</w:t>
      </w:r>
      <w:r>
        <w:rPr>
          <w:rFonts w:ascii="Arial" w:eastAsia="Arial" w:hAnsi="Arial" w:cs="Arial"/>
          <w:i/>
          <w:iCs/>
          <w:color w:val="auto"/>
          <w:szCs w:val="22"/>
        </w:rPr>
        <w:t xml:space="preserve"> </w:t>
      </w:r>
      <w:r w:rsidRPr="00921A8C">
        <w:rPr>
          <w:rFonts w:ascii="Arial" w:eastAsia="Arial" w:hAnsi="Arial" w:cs="Arial"/>
          <w:i/>
          <w:iCs/>
          <w:color w:val="auto"/>
          <w:szCs w:val="22"/>
        </w:rPr>
        <w:t>regime, nei prossimi bilanci di previsione con la facoltà di anticiparla già in sede di assestamento per il corrente</w:t>
      </w:r>
      <w:r>
        <w:rPr>
          <w:rFonts w:ascii="Arial" w:eastAsia="Arial" w:hAnsi="Arial" w:cs="Arial"/>
          <w:i/>
          <w:iCs/>
          <w:color w:val="auto"/>
          <w:szCs w:val="22"/>
        </w:rPr>
        <w:t xml:space="preserve"> </w:t>
      </w:r>
      <w:r w:rsidRPr="00921A8C">
        <w:rPr>
          <w:rFonts w:ascii="Arial" w:eastAsia="Arial" w:hAnsi="Arial" w:cs="Arial"/>
          <w:i/>
          <w:iCs/>
          <w:color w:val="auto"/>
          <w:szCs w:val="22"/>
        </w:rPr>
        <w:t>bilancio 2026</w:t>
      </w:r>
      <w:r>
        <w:rPr>
          <w:rFonts w:ascii="Arial" w:eastAsia="Arial" w:hAnsi="Arial" w:cs="Arial"/>
          <w:i/>
          <w:iCs/>
          <w:color w:val="auto"/>
          <w:szCs w:val="22"/>
        </w:rPr>
        <w:t>-</w:t>
      </w:r>
      <w:r w:rsidRPr="00921A8C">
        <w:rPr>
          <w:rFonts w:ascii="Arial" w:eastAsia="Arial" w:hAnsi="Arial" w:cs="Arial"/>
          <w:i/>
          <w:iCs/>
          <w:color w:val="auto"/>
          <w:szCs w:val="22"/>
        </w:rPr>
        <w:t xml:space="preserve">2028. </w:t>
      </w:r>
      <w:r>
        <w:rPr>
          <w:rFonts w:ascii="Arial" w:eastAsia="Arial" w:hAnsi="Arial" w:cs="Arial"/>
          <w:i/>
          <w:iCs/>
          <w:color w:val="auto"/>
          <w:szCs w:val="22"/>
        </w:rPr>
        <w:t xml:space="preserve">Quindi, </w:t>
      </w:r>
      <w:r w:rsidRPr="00921A8C">
        <w:rPr>
          <w:rFonts w:ascii="Arial" w:eastAsia="Arial" w:hAnsi="Arial" w:cs="Arial"/>
          <w:i/>
          <w:iCs/>
          <w:color w:val="auto"/>
          <w:szCs w:val="22"/>
        </w:rPr>
        <w:t xml:space="preserve">in questo caso l’organo di revisione </w:t>
      </w:r>
      <w:r>
        <w:rPr>
          <w:rFonts w:ascii="Arial" w:eastAsia="Arial" w:hAnsi="Arial" w:cs="Arial"/>
          <w:i/>
          <w:iCs/>
          <w:color w:val="auto"/>
          <w:szCs w:val="22"/>
        </w:rPr>
        <w:t>dovrà</w:t>
      </w:r>
      <w:r w:rsidRPr="00921A8C">
        <w:rPr>
          <w:rFonts w:ascii="Arial" w:eastAsia="Arial" w:hAnsi="Arial" w:cs="Arial"/>
          <w:i/>
          <w:iCs/>
          <w:color w:val="auto"/>
          <w:szCs w:val="22"/>
        </w:rPr>
        <w:t xml:space="preserve"> </w:t>
      </w:r>
      <w:r>
        <w:rPr>
          <w:rFonts w:ascii="Arial" w:eastAsia="Arial" w:hAnsi="Arial" w:cs="Arial"/>
          <w:i/>
          <w:iCs/>
          <w:color w:val="auto"/>
          <w:szCs w:val="22"/>
        </w:rPr>
        <w:t>predisporre</w:t>
      </w:r>
      <w:r w:rsidRPr="00921A8C">
        <w:rPr>
          <w:rFonts w:ascii="Arial" w:eastAsia="Arial" w:hAnsi="Arial" w:cs="Arial"/>
          <w:i/>
          <w:iCs/>
          <w:color w:val="auto"/>
          <w:szCs w:val="22"/>
        </w:rPr>
        <w:t xml:space="preserve"> appositi controlli e </w:t>
      </w:r>
      <w:r w:rsidR="00147D6D">
        <w:rPr>
          <w:rFonts w:ascii="Arial" w:eastAsia="Arial" w:hAnsi="Arial" w:cs="Arial"/>
          <w:i/>
          <w:iCs/>
          <w:color w:val="auto"/>
          <w:szCs w:val="22"/>
        </w:rPr>
        <w:t xml:space="preserve">fornire </w:t>
      </w:r>
      <w:r w:rsidRPr="00921A8C">
        <w:rPr>
          <w:rFonts w:ascii="Arial" w:eastAsia="Arial" w:hAnsi="Arial" w:cs="Arial"/>
          <w:i/>
          <w:iCs/>
          <w:color w:val="auto"/>
          <w:szCs w:val="22"/>
        </w:rPr>
        <w:t>proprie</w:t>
      </w:r>
      <w:r>
        <w:rPr>
          <w:rFonts w:ascii="Arial" w:eastAsia="Arial" w:hAnsi="Arial" w:cs="Arial"/>
          <w:i/>
          <w:iCs/>
          <w:color w:val="auto"/>
          <w:szCs w:val="22"/>
        </w:rPr>
        <w:t xml:space="preserve"> </w:t>
      </w:r>
      <w:r w:rsidRPr="00921A8C">
        <w:rPr>
          <w:rFonts w:ascii="Arial" w:eastAsia="Arial" w:hAnsi="Arial" w:cs="Arial"/>
          <w:i/>
          <w:iCs/>
          <w:color w:val="auto"/>
          <w:szCs w:val="22"/>
        </w:rPr>
        <w:t>valutazioni nel parere che dovrà rilasciare in sede di assestamento.</w:t>
      </w:r>
    </w:p>
    <w:p w14:paraId="2D4DB7C3" w14:textId="77777777" w:rsidR="0059751B" w:rsidRDefault="0059751B"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4627C884" w14:textId="2E3B202A" w:rsidR="000F434D" w:rsidRPr="00B96B45" w:rsidRDefault="00BC1BB3"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68" w:name="_Toc219808181"/>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 xml:space="preserve">.4. </w:t>
      </w:r>
      <w:r w:rsidR="000F434D" w:rsidRPr="00B96B45">
        <w:rPr>
          <w:rFonts w:ascii="Calibri" w:eastAsiaTheme="majorEastAsia" w:hAnsi="Calibri" w:cs="Times New Roman (Titoli CS)"/>
          <w:b/>
          <w:i/>
          <w:iCs/>
          <w:color w:val="C00000"/>
          <w:sz w:val="28"/>
          <w:szCs w:val="40"/>
        </w:rPr>
        <w:t>Fondi per spese potenziali</w:t>
      </w:r>
      <w:bookmarkEnd w:id="68"/>
    </w:p>
    <w:p w14:paraId="21F10C10" w14:textId="77777777" w:rsidR="00CE3419"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426300">
        <w:rPr>
          <w:rFonts w:ascii="Arial" w:eastAsia="Arial" w:hAnsi="Arial" w:cs="Arial"/>
          <w:bCs/>
          <w:color w:val="000000"/>
          <w:szCs w:val="22"/>
        </w:rPr>
        <w:t>ha verificato</w:t>
      </w:r>
      <w:r>
        <w:rPr>
          <w:rFonts w:ascii="Arial" w:eastAsia="Arial" w:hAnsi="Arial" w:cs="Arial"/>
          <w:color w:val="000000"/>
          <w:szCs w:val="22"/>
        </w:rPr>
        <w:t xml:space="preserve"> che</w:t>
      </w:r>
      <w:r w:rsidR="00CE3419">
        <w:rPr>
          <w:rFonts w:ascii="Arial" w:eastAsia="Arial" w:hAnsi="Arial" w:cs="Arial"/>
          <w:color w:val="000000"/>
          <w:szCs w:val="22"/>
        </w:rPr>
        <w:t>:</w:t>
      </w:r>
    </w:p>
    <w:p w14:paraId="7C032911" w14:textId="46CD6651"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lo stanziamento del fondo rischi contenzioso, con particolare riferimento a quello sorto nell’esercizio precedente (compreso l’esercizio in corso, in caso di esercizio provvisorio) </w:t>
      </w:r>
      <w:r w:rsidR="000F434D" w:rsidRPr="00426300">
        <w:rPr>
          <w:rFonts w:ascii="Arial" w:eastAsia="Arial" w:hAnsi="Arial" w:cs="Arial"/>
          <w:b/>
          <w:bCs/>
          <w:color w:val="000000"/>
          <w:szCs w:val="22"/>
        </w:rPr>
        <w:t>è/non è</w:t>
      </w:r>
      <w:r w:rsidR="000F434D">
        <w:rPr>
          <w:rFonts w:ascii="Arial" w:eastAsia="Arial" w:hAnsi="Arial" w:cs="Arial"/>
          <w:color w:val="000000"/>
          <w:szCs w:val="22"/>
        </w:rPr>
        <w:t xml:space="preserve"> congruo.</w:t>
      </w:r>
    </w:p>
    <w:p w14:paraId="204B6EFC" w14:textId="3D6772AB" w:rsidR="000F434D" w:rsidRDefault="00CE3419" w:rsidP="005C01E7">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5C01E7" w:rsidRPr="005C01E7">
        <w:rPr>
          <w:rFonts w:ascii="Arial" w:eastAsia="Arial" w:hAnsi="Arial" w:cs="Arial"/>
          <w:color w:val="000000"/>
          <w:szCs w:val="22"/>
        </w:rPr>
        <w:t>ai fini della verifica della congruità dello stanziamento alla missione 20 del Fondo rischi</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 xml:space="preserve">contenzioso, l’Ente </w:t>
      </w:r>
      <w:r w:rsidR="005C01E7" w:rsidRPr="00BC1BB3">
        <w:rPr>
          <w:rFonts w:ascii="Arial" w:eastAsia="Arial" w:hAnsi="Arial" w:cs="Arial"/>
          <w:b/>
          <w:bCs/>
          <w:color w:val="000000"/>
          <w:szCs w:val="22"/>
        </w:rPr>
        <w:t>ha predisposto/non ha predisposto</w:t>
      </w:r>
      <w:r w:rsidR="005C01E7" w:rsidRPr="005C01E7">
        <w:rPr>
          <w:rFonts w:ascii="Arial" w:eastAsia="Arial" w:hAnsi="Arial" w:cs="Arial"/>
          <w:color w:val="000000"/>
          <w:szCs w:val="22"/>
        </w:rPr>
        <w:t xml:space="preserve"> un elenco di giudizi in corso, con connesso censimento delle</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rispettive probabilità di soccombenza.</w:t>
      </w:r>
      <w:r w:rsidR="00B250E9">
        <w:rPr>
          <w:rFonts w:ascii="Arial" w:eastAsia="Arial" w:hAnsi="Arial" w:cs="Arial"/>
          <w:color w:val="000000"/>
          <w:szCs w:val="22"/>
        </w:rPr>
        <w:t xml:space="preserve"> (</w:t>
      </w:r>
      <w:r w:rsidR="00B250E9" w:rsidRPr="00B250E9">
        <w:rPr>
          <w:rFonts w:ascii="Arial" w:eastAsia="Arial" w:hAnsi="Arial" w:cs="Arial"/>
          <w:i/>
          <w:iCs/>
          <w:color w:val="00B0F0"/>
          <w:szCs w:val="22"/>
        </w:rPr>
        <w:t>in caso di risposta negativa fornire chiarimenti</w:t>
      </w:r>
      <w:r w:rsidR="00B250E9">
        <w:rPr>
          <w:rFonts w:ascii="Arial" w:eastAsia="Arial" w:hAnsi="Arial" w:cs="Arial"/>
          <w:color w:val="000000"/>
          <w:szCs w:val="22"/>
        </w:rPr>
        <w:t>)</w:t>
      </w:r>
    </w:p>
    <w:p w14:paraId="08ED6C21" w14:textId="6B86DD43"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l’Ente </w:t>
      </w:r>
      <w:r w:rsidR="000F434D">
        <w:rPr>
          <w:rFonts w:ascii="Arial" w:eastAsia="Arial" w:hAnsi="Arial" w:cs="Arial"/>
          <w:b/>
          <w:color w:val="000000"/>
          <w:szCs w:val="22"/>
        </w:rPr>
        <w:t>ha provveduto/non ha provveduto</w:t>
      </w:r>
      <w:r w:rsidR="000F434D">
        <w:rPr>
          <w:rFonts w:ascii="Arial" w:eastAsia="Arial" w:hAnsi="Arial" w:cs="Arial"/>
          <w:color w:val="000000"/>
          <w:szCs w:val="22"/>
        </w:rPr>
        <w:t xml:space="preserve"> a stanziare nel bilancio 202</w:t>
      </w:r>
      <w:r w:rsidR="00DB2D30">
        <w:rPr>
          <w:rFonts w:ascii="Arial" w:eastAsia="Arial" w:hAnsi="Arial" w:cs="Arial"/>
          <w:color w:val="000000"/>
          <w:szCs w:val="22"/>
        </w:rPr>
        <w:t>6</w:t>
      </w:r>
      <w:r w:rsidR="000F434D">
        <w:rPr>
          <w:rFonts w:ascii="Arial" w:eastAsia="Arial" w:hAnsi="Arial" w:cs="Arial"/>
          <w:color w:val="000000"/>
          <w:szCs w:val="22"/>
        </w:rPr>
        <w:t>-202</w:t>
      </w:r>
      <w:r w:rsidR="00DB2D30">
        <w:rPr>
          <w:rFonts w:ascii="Arial" w:eastAsia="Arial" w:hAnsi="Arial" w:cs="Arial"/>
          <w:color w:val="000000"/>
          <w:szCs w:val="22"/>
        </w:rPr>
        <w:t>8</w:t>
      </w:r>
      <w:r w:rsidR="000F434D">
        <w:rPr>
          <w:rFonts w:ascii="Arial" w:eastAsia="Arial" w:hAnsi="Arial" w:cs="Arial"/>
          <w:color w:val="000000"/>
          <w:szCs w:val="22"/>
        </w:rPr>
        <w:t xml:space="preserve"> accantonamenti in conto competenza per </w:t>
      </w:r>
      <w:r w:rsidR="009C074F">
        <w:rPr>
          <w:rFonts w:ascii="Arial" w:eastAsia="Arial" w:hAnsi="Arial" w:cs="Arial"/>
          <w:color w:val="000000"/>
          <w:szCs w:val="22"/>
        </w:rPr>
        <w:t xml:space="preserve">altre </w:t>
      </w:r>
      <w:r w:rsidR="000F434D">
        <w:rPr>
          <w:rFonts w:ascii="Arial" w:eastAsia="Arial" w:hAnsi="Arial" w:cs="Arial"/>
          <w:color w:val="000000"/>
          <w:szCs w:val="22"/>
        </w:rPr>
        <w:t>spese potenziali.</w:t>
      </w:r>
    </w:p>
    <w:p w14:paraId="1759D268" w14:textId="44642602" w:rsidR="000F434D" w:rsidRDefault="005C01E7" w:rsidP="000F434D">
      <w:pPr>
        <w:pBdr>
          <w:top w:val="nil"/>
          <w:left w:val="nil"/>
          <w:bottom w:val="nil"/>
          <w:right w:val="nil"/>
          <w:between w:val="nil"/>
        </w:pBdr>
        <w:spacing w:line="240" w:lineRule="auto"/>
        <w:ind w:hanging="2"/>
        <w:rPr>
          <w:rFonts w:ascii="Arial" w:eastAsia="Arial" w:hAnsi="Arial" w:cs="Arial"/>
          <w:color w:val="000000"/>
          <w:szCs w:val="22"/>
        </w:rPr>
      </w:pPr>
      <w:r w:rsidRPr="005C01E7">
        <w:rPr>
          <w:rFonts w:ascii="Arial" w:eastAsia="Arial" w:hAnsi="Arial" w:cs="Arial"/>
          <w:color w:val="000000"/>
          <w:szCs w:val="22"/>
        </w:rPr>
        <w:t>Nella missione 20, programma 3, sono previsti i seguenti accantonamenti</w:t>
      </w:r>
      <w:r>
        <w:rPr>
          <w:rFonts w:ascii="Arial" w:eastAsia="Arial" w:hAnsi="Arial" w:cs="Arial"/>
          <w:color w:val="000000"/>
          <w:szCs w:val="22"/>
        </w:rPr>
        <w:t>:</w:t>
      </w:r>
    </w:p>
    <w:p w14:paraId="6BE99DE5" w14:textId="77777777" w:rsidR="000F434D" w:rsidRDefault="000F434D" w:rsidP="000F434D">
      <w:pPr>
        <w:pBdr>
          <w:top w:val="nil"/>
          <w:left w:val="nil"/>
          <w:bottom w:val="nil"/>
          <w:right w:val="nil"/>
          <w:between w:val="nil"/>
        </w:pBdr>
        <w:spacing w:line="240" w:lineRule="auto"/>
        <w:ind w:hanging="2"/>
        <w:rPr>
          <w:color w:val="000000"/>
          <w:szCs w:val="22"/>
        </w:rPr>
      </w:pPr>
    </w:p>
    <w:p w14:paraId="553DA22B" w14:textId="5DDCBD88" w:rsidR="000F434D" w:rsidRPr="00E623BE" w:rsidRDefault="003301B0" w:rsidP="000F434D">
      <w:pPr>
        <w:pBdr>
          <w:top w:val="nil"/>
          <w:left w:val="nil"/>
          <w:bottom w:val="nil"/>
          <w:right w:val="nil"/>
          <w:between w:val="nil"/>
        </w:pBdr>
        <w:spacing w:line="240" w:lineRule="auto"/>
        <w:ind w:hanging="2"/>
        <w:jc w:val="center"/>
        <w:rPr>
          <w:rFonts w:ascii="Arial" w:eastAsia="Arial" w:hAnsi="Arial" w:cs="Arial"/>
          <w:b/>
          <w:bCs/>
          <w:color w:val="000000"/>
        </w:rPr>
      </w:pPr>
      <w:bookmarkStart w:id="69" w:name="_heading=h.3hv69ve" w:colFirst="0" w:colLast="0"/>
      <w:bookmarkEnd w:id="69"/>
      <w:r w:rsidRPr="00E623BE">
        <w:rPr>
          <w:rFonts w:ascii="Arial" w:eastAsia="Arial" w:hAnsi="Arial" w:cs="Arial"/>
          <w:b/>
          <w:bCs/>
          <w:color w:val="000000"/>
        </w:rPr>
        <w:lastRenderedPageBreak/>
        <w:t>TABELLA 17</w:t>
      </w:r>
    </w:p>
    <w:p w14:paraId="388328C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rPr>
      </w:pPr>
    </w:p>
    <w:p w14:paraId="3C9947B6" w14:textId="7E0D172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426300">
        <w:rPr>
          <w:rFonts w:ascii="Arial" w:eastAsia="Arial" w:hAnsi="Arial" w:cs="Arial"/>
          <w:color w:val="000000"/>
          <w:szCs w:val="22"/>
        </w:rPr>
        <w:t>L’Organo di revisione ha verificato che l</w:t>
      </w:r>
      <w:r>
        <w:rPr>
          <w:rFonts w:ascii="Arial" w:eastAsia="Arial" w:hAnsi="Arial" w:cs="Arial"/>
          <w:color w:val="000000"/>
          <w:szCs w:val="22"/>
        </w:rPr>
        <w:t>’</w:t>
      </w:r>
      <w:r w:rsidRPr="00426300">
        <w:rPr>
          <w:rFonts w:ascii="Arial" w:eastAsia="Arial" w:hAnsi="Arial" w:cs="Arial"/>
          <w:color w:val="000000"/>
          <w:szCs w:val="22"/>
        </w:rPr>
        <w:t xml:space="preserve">Ente </w:t>
      </w:r>
      <w:r w:rsidRPr="00BC1BB3">
        <w:rPr>
          <w:rFonts w:ascii="Arial" w:eastAsia="Arial" w:hAnsi="Arial" w:cs="Arial"/>
          <w:b/>
          <w:bCs/>
          <w:color w:val="000000"/>
          <w:szCs w:val="22"/>
        </w:rPr>
        <w:t>ha accantonato/non ha accantonato</w:t>
      </w:r>
      <w:r w:rsidRPr="00426300">
        <w:rPr>
          <w:rFonts w:ascii="Arial" w:eastAsia="Arial" w:hAnsi="Arial" w:cs="Arial"/>
          <w:color w:val="000000"/>
          <w:szCs w:val="22"/>
        </w:rPr>
        <w:t xml:space="preserve"> risorse per gli aumenti contrattuali del personale dipendente</w:t>
      </w:r>
      <w:r w:rsidR="00C53194">
        <w:rPr>
          <w:rFonts w:ascii="Arial" w:eastAsia="Arial" w:hAnsi="Arial" w:cs="Arial"/>
          <w:color w:val="000000"/>
          <w:szCs w:val="22"/>
        </w:rPr>
        <w:t xml:space="preserve"> per il rinnovo contrattuale</w:t>
      </w:r>
      <w:r w:rsidR="00317F9E">
        <w:rPr>
          <w:rFonts w:ascii="Arial" w:eastAsia="Arial" w:hAnsi="Arial" w:cs="Arial"/>
          <w:color w:val="000000"/>
          <w:szCs w:val="22"/>
        </w:rPr>
        <w:t>.</w:t>
      </w:r>
    </w:p>
    <w:p w14:paraId="0145AE51" w14:textId="19939C95" w:rsidR="0030743F" w:rsidRDefault="003426AB"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Per la valutazione della congruità del Fondo rischi da contenzioso, l’Organo di revisione ha verificato che l’Ente </w:t>
      </w:r>
      <w:r w:rsidRPr="00EF4909">
        <w:rPr>
          <w:rFonts w:ascii="Arial" w:eastAsia="Arial" w:hAnsi="Arial" w:cs="Arial"/>
          <w:b/>
          <w:bCs/>
          <w:color w:val="000000"/>
          <w:szCs w:val="22"/>
        </w:rPr>
        <w:t>ha/non ha</w:t>
      </w:r>
      <w:r>
        <w:rPr>
          <w:rFonts w:ascii="Arial" w:eastAsia="Arial" w:hAnsi="Arial" w:cs="Arial"/>
          <w:color w:val="000000"/>
          <w:szCs w:val="22"/>
        </w:rPr>
        <w:t xml:space="preserve"> effettuato la ricognizione puntale dei contenziosi.</w:t>
      </w:r>
    </w:p>
    <w:p w14:paraId="43C03FB9" w14:textId="77777777" w:rsidR="00CB4E8D" w:rsidRDefault="00CB4E8D" w:rsidP="00D20521">
      <w:pPr>
        <w:pBdr>
          <w:top w:val="nil"/>
          <w:left w:val="nil"/>
          <w:bottom w:val="nil"/>
          <w:right w:val="nil"/>
          <w:between w:val="nil"/>
        </w:pBdr>
        <w:spacing w:line="240" w:lineRule="auto"/>
        <w:ind w:hanging="2"/>
        <w:rPr>
          <w:rFonts w:ascii="Arial" w:eastAsia="Arial" w:hAnsi="Arial" w:cs="Arial"/>
          <w:color w:val="000000"/>
          <w:szCs w:val="22"/>
        </w:rPr>
      </w:pPr>
    </w:p>
    <w:p w14:paraId="24DD6246" w14:textId="63951688" w:rsidR="000F434D" w:rsidRPr="00B96B45" w:rsidRDefault="00BC1BB3" w:rsidP="00B96B45">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70" w:name="_Toc219808182"/>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.5. Fond</w:t>
      </w:r>
      <w:r w:rsidR="00B9241E" w:rsidRPr="00B96B45">
        <w:rPr>
          <w:rFonts w:ascii="Calibri" w:eastAsiaTheme="majorEastAsia" w:hAnsi="Calibri" w:cs="Times New Roman (Titoli CS)"/>
          <w:b/>
          <w:i/>
          <w:iCs/>
          <w:color w:val="C00000"/>
          <w:sz w:val="28"/>
          <w:szCs w:val="40"/>
        </w:rPr>
        <w:t>o garanzia debiti commerciali</w:t>
      </w:r>
      <w:bookmarkEnd w:id="70"/>
      <w:r w:rsidR="003301B0" w:rsidRPr="00B96B45">
        <w:rPr>
          <w:rFonts w:ascii="Calibri" w:eastAsiaTheme="majorEastAsia" w:hAnsi="Calibri" w:cs="Times New Roman (Titoli CS)"/>
          <w:b/>
          <w:i/>
          <w:iCs/>
          <w:color w:val="C00000"/>
          <w:sz w:val="28"/>
          <w:szCs w:val="40"/>
        </w:rPr>
        <w:t xml:space="preserve"> </w:t>
      </w:r>
    </w:p>
    <w:p w14:paraId="5C0FCB21" w14:textId="5B4A963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al 31.12.202</w:t>
      </w:r>
      <w:r w:rsidR="00DB2D30">
        <w:rPr>
          <w:rFonts w:ascii="Arial" w:eastAsia="Arial" w:hAnsi="Arial" w:cs="Arial"/>
          <w:color w:val="000000"/>
          <w:szCs w:val="22"/>
        </w:rPr>
        <w:t>5</w:t>
      </w:r>
      <w:r>
        <w:rPr>
          <w:rFonts w:ascii="Arial" w:eastAsia="Arial" w:hAnsi="Arial" w:cs="Arial"/>
          <w:color w:val="000000"/>
          <w:szCs w:val="22"/>
        </w:rPr>
        <w:t xml:space="preserve"> </w:t>
      </w:r>
      <w:r w:rsidRPr="00D06CD3">
        <w:rPr>
          <w:rFonts w:ascii="Arial" w:eastAsia="Arial" w:hAnsi="Arial" w:cs="Arial"/>
          <w:b/>
          <w:iCs/>
          <w:color w:val="000000"/>
          <w:szCs w:val="22"/>
        </w:rPr>
        <w:t>rispetta/non rispetta o rispetterà/non rispetterà</w:t>
      </w:r>
      <w:r>
        <w:rPr>
          <w:rFonts w:ascii="Arial" w:eastAsia="Arial" w:hAnsi="Arial" w:cs="Arial"/>
          <w:color w:val="000000"/>
          <w:szCs w:val="22"/>
        </w:rPr>
        <w:t xml:space="preserve"> i criteri previsti dalla norma, e pertanto </w:t>
      </w:r>
      <w:r w:rsidRPr="00D06CD3">
        <w:rPr>
          <w:rFonts w:ascii="Arial" w:eastAsia="Arial" w:hAnsi="Arial" w:cs="Arial"/>
          <w:b/>
          <w:iCs/>
          <w:color w:val="000000"/>
          <w:szCs w:val="22"/>
        </w:rPr>
        <w:t xml:space="preserve">è </w:t>
      </w:r>
      <w:r w:rsidR="00472455">
        <w:rPr>
          <w:rFonts w:ascii="Arial" w:eastAsia="Arial" w:hAnsi="Arial" w:cs="Arial"/>
          <w:b/>
          <w:iCs/>
          <w:color w:val="000000"/>
          <w:szCs w:val="22"/>
        </w:rPr>
        <w:t>tenuto</w:t>
      </w:r>
      <w:r w:rsidRPr="00D06CD3">
        <w:rPr>
          <w:rFonts w:ascii="Arial" w:eastAsia="Arial" w:hAnsi="Arial" w:cs="Arial"/>
          <w:b/>
          <w:iCs/>
          <w:color w:val="000000"/>
          <w:szCs w:val="22"/>
        </w:rPr>
        <w:t xml:space="preserve">/non è </w:t>
      </w:r>
      <w:r w:rsidR="00472455">
        <w:rPr>
          <w:rFonts w:ascii="Arial" w:eastAsia="Arial" w:hAnsi="Arial" w:cs="Arial"/>
          <w:b/>
          <w:iCs/>
          <w:color w:val="000000"/>
          <w:szCs w:val="22"/>
        </w:rPr>
        <w:t>tenuto</w:t>
      </w:r>
      <w:r>
        <w:rPr>
          <w:rFonts w:ascii="Arial" w:eastAsia="Arial" w:hAnsi="Arial" w:cs="Arial"/>
          <w:color w:val="000000"/>
          <w:szCs w:val="22"/>
        </w:rPr>
        <w:t xml:space="preserve"> ad effettuare l’accantonamento al fondo garanzia debiti commerciali.</w:t>
      </w:r>
    </w:p>
    <w:p w14:paraId="6085FA85" w14:textId="77777777" w:rsidR="00E1346A" w:rsidRDefault="00E1346A" w:rsidP="00E1346A">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nella missione 20, programma 3 </w:t>
      </w:r>
      <w:r w:rsidRPr="00D06CD3">
        <w:rPr>
          <w:rFonts w:ascii="Arial" w:eastAsia="Arial" w:hAnsi="Arial" w:cs="Arial"/>
          <w:b/>
          <w:iCs/>
          <w:color w:val="000000"/>
          <w:szCs w:val="22"/>
        </w:rPr>
        <w:t>ha stanziato/non ha stanziato</w:t>
      </w:r>
      <w:r>
        <w:rPr>
          <w:rFonts w:ascii="Arial" w:eastAsia="Arial" w:hAnsi="Arial" w:cs="Arial"/>
          <w:color w:val="000000"/>
          <w:szCs w:val="22"/>
        </w:rPr>
        <w:t xml:space="preserve"> il fondo garanzia debiti commerciali.</w:t>
      </w:r>
    </w:p>
    <w:p w14:paraId="7CF362B3" w14:textId="2C6CAECD" w:rsidR="000F434D" w:rsidRPr="005777DA" w:rsidRDefault="002A2EFA" w:rsidP="000F434D">
      <w:pPr>
        <w:pBdr>
          <w:top w:val="nil"/>
          <w:left w:val="nil"/>
          <w:bottom w:val="nil"/>
          <w:right w:val="nil"/>
          <w:between w:val="nil"/>
        </w:pBdr>
        <w:spacing w:line="240" w:lineRule="auto"/>
        <w:ind w:hanging="2"/>
        <w:rPr>
          <w:rFonts w:ascii="Arial" w:eastAsia="Arial" w:hAnsi="Arial" w:cs="Arial"/>
          <w:i/>
          <w:iCs/>
          <w:color w:val="00B0F0"/>
          <w:szCs w:val="22"/>
        </w:rPr>
      </w:pPr>
      <w:r w:rsidRPr="005777DA">
        <w:rPr>
          <w:rFonts w:ascii="Arial" w:eastAsia="Arial" w:hAnsi="Arial" w:cs="Arial"/>
          <w:b/>
          <w:bCs/>
          <w:i/>
          <w:iCs/>
          <w:color w:val="00B0F0"/>
          <w:szCs w:val="22"/>
        </w:rPr>
        <w:t xml:space="preserve">N.b. </w:t>
      </w:r>
      <w:r w:rsidR="000F434D" w:rsidRPr="005777DA">
        <w:rPr>
          <w:rFonts w:ascii="Arial" w:eastAsia="Arial" w:hAnsi="Arial" w:cs="Arial"/>
          <w:i/>
          <w:iCs/>
          <w:color w:val="00B0F0"/>
          <w:szCs w:val="22"/>
        </w:rPr>
        <w:t>Nel caso in cui l’Ente non rispetterà i criteri previsti dalla norma si invita l’Ente entro il 28 febbraio ad effettuare la variazione per costituire l’accantonamento al fondo garanzia debiti commerciali.</w:t>
      </w:r>
    </w:p>
    <w:p w14:paraId="594A8A28" w14:textId="77777777" w:rsidR="00E1346A" w:rsidRDefault="00E1346A" w:rsidP="000F434D">
      <w:pPr>
        <w:pBdr>
          <w:top w:val="nil"/>
          <w:left w:val="nil"/>
          <w:bottom w:val="nil"/>
          <w:right w:val="nil"/>
          <w:between w:val="nil"/>
        </w:pBdr>
        <w:spacing w:line="240" w:lineRule="auto"/>
        <w:ind w:hanging="2"/>
        <w:rPr>
          <w:rFonts w:ascii="Arial" w:eastAsia="Arial" w:hAnsi="Arial" w:cs="Arial"/>
          <w:color w:val="000000"/>
          <w:szCs w:val="22"/>
        </w:rPr>
      </w:pPr>
    </w:p>
    <w:p w14:paraId="287AAE79" w14:textId="3C416E44" w:rsidR="002A2EFA" w:rsidRDefault="002A2EFA"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Pr="009A5514">
        <w:rPr>
          <w:rFonts w:ascii="Arial" w:eastAsia="Arial" w:hAnsi="Arial" w:cs="Arial"/>
          <w:i/>
          <w:iCs/>
          <w:color w:val="00B0F0"/>
          <w:szCs w:val="22"/>
        </w:rPr>
        <w:t>in caso di risposta negativa</w:t>
      </w:r>
      <w:r>
        <w:rPr>
          <w:rFonts w:ascii="Arial" w:eastAsia="Arial" w:hAnsi="Arial" w:cs="Arial"/>
          <w:color w:val="000000"/>
          <w:szCs w:val="22"/>
        </w:rPr>
        <w:t xml:space="preserve">) </w:t>
      </w:r>
      <w:r w:rsidR="00307C67">
        <w:rPr>
          <w:rFonts w:ascii="Arial" w:eastAsia="Arial" w:hAnsi="Arial" w:cs="Arial"/>
          <w:color w:val="000000"/>
          <w:szCs w:val="22"/>
        </w:rPr>
        <w:t>L’accantonamento</w:t>
      </w:r>
      <w:r>
        <w:rPr>
          <w:rFonts w:ascii="Arial" w:eastAsia="Arial" w:hAnsi="Arial" w:cs="Arial"/>
          <w:color w:val="000000"/>
          <w:szCs w:val="22"/>
        </w:rPr>
        <w:t xml:space="preserve"> è così determinato:</w:t>
      </w:r>
    </w:p>
    <w:bookmarkStart w:id="71" w:name="_MON_1830419412"/>
    <w:bookmarkEnd w:id="71"/>
    <w:p w14:paraId="47930C09" w14:textId="5A6367D1" w:rsidR="002A2EFA" w:rsidRDefault="005777DA" w:rsidP="005777DA">
      <w:pPr>
        <w:pBdr>
          <w:top w:val="nil"/>
          <w:left w:val="nil"/>
          <w:bottom w:val="nil"/>
          <w:right w:val="nil"/>
          <w:between w:val="nil"/>
        </w:pBdr>
        <w:spacing w:line="240" w:lineRule="auto"/>
        <w:ind w:hanging="2"/>
        <w:jc w:val="center"/>
        <w:rPr>
          <w:rFonts w:ascii="Arial" w:eastAsia="Arial" w:hAnsi="Arial" w:cs="Arial"/>
          <w:color w:val="000000"/>
          <w:szCs w:val="22"/>
        </w:rPr>
      </w:pPr>
      <w:r>
        <w:rPr>
          <w:rFonts w:ascii="Arial" w:eastAsia="Arial" w:hAnsi="Arial" w:cs="Arial"/>
          <w:color w:val="000000"/>
          <w:szCs w:val="22"/>
        </w:rPr>
        <w:object w:dxaOrig="8255" w:dyaOrig="3214" w14:anchorId="73C3B87C">
          <v:shape id="_x0000_i1026" type="#_x0000_t75" style="width:412.8pt;height:161.4pt" o:ole="">
            <v:imagedata r:id="rId29" o:title=""/>
          </v:shape>
          <o:OLEObject Type="Embed" ProgID="Excel.Sheet.12" ShapeID="_x0000_i1026" DrawAspect="Content" ObjectID="_1830422857" r:id="rId30"/>
        </w:object>
      </w:r>
    </w:p>
    <w:p w14:paraId="6291B0C7" w14:textId="77777777" w:rsidR="002A2EFA" w:rsidDel="00E1346A" w:rsidRDefault="002A2EFA" w:rsidP="000F434D">
      <w:pPr>
        <w:pBdr>
          <w:top w:val="nil"/>
          <w:left w:val="nil"/>
          <w:bottom w:val="nil"/>
          <w:right w:val="nil"/>
          <w:between w:val="nil"/>
        </w:pBdr>
        <w:spacing w:line="240" w:lineRule="auto"/>
        <w:ind w:hanging="2"/>
        <w:rPr>
          <w:rFonts w:ascii="Arial" w:eastAsia="Arial" w:hAnsi="Arial" w:cs="Arial"/>
          <w:color w:val="000000"/>
          <w:szCs w:val="22"/>
        </w:rPr>
      </w:pPr>
    </w:p>
    <w:p w14:paraId="29DB4CE2" w14:textId="77777777" w:rsidR="00E73D72" w:rsidRDefault="00145E1F"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assegnato gli obiettivi annuali sui termini di pagamento delle fatture commerciali a tutti i dirigenti responsabili, nonché a quelli apicali delle rispettive strutture, con integrazione dei rispettivi contratti individuali</w:t>
      </w:r>
      <w:r w:rsidR="00E73D72">
        <w:rPr>
          <w:rFonts w:ascii="Arial" w:eastAsia="Arial" w:hAnsi="Arial" w:cs="Arial"/>
          <w:color w:val="000000"/>
          <w:szCs w:val="22"/>
        </w:rPr>
        <w:t>.</w:t>
      </w:r>
    </w:p>
    <w:p w14:paraId="76BCCEBF" w14:textId="77777777" w:rsidR="00E73D72" w:rsidRDefault="00E73D72" w:rsidP="00E73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nel caso di non rispetto dei tempi di pagamento </w:t>
      </w:r>
      <w:r w:rsidRPr="00E73D72">
        <w:rPr>
          <w:rFonts w:ascii="Arial" w:eastAsia="Arial" w:hAnsi="Arial" w:cs="Arial"/>
          <w:b/>
          <w:bCs/>
          <w:color w:val="000000"/>
          <w:szCs w:val="22"/>
        </w:rPr>
        <w:t>è stata/non è stata</w:t>
      </w:r>
      <w:r>
        <w:rPr>
          <w:rFonts w:ascii="Arial" w:eastAsia="Arial" w:hAnsi="Arial" w:cs="Arial"/>
          <w:color w:val="000000"/>
          <w:szCs w:val="22"/>
        </w:rPr>
        <w:t xml:space="preserve"> applicata la penalità sulla retribuzione di risultato per una quota della stessa avente un peso non inferiore al 30 per cento. (</w:t>
      </w:r>
      <w:r w:rsidRPr="00B250E9">
        <w:rPr>
          <w:rFonts w:ascii="Arial" w:eastAsia="Arial" w:hAnsi="Arial" w:cs="Arial"/>
          <w:i/>
          <w:iCs/>
          <w:color w:val="00B0F0"/>
          <w:szCs w:val="22"/>
        </w:rPr>
        <w:t>in caso di risposta negativa fornire chiarimenti</w:t>
      </w:r>
      <w:r>
        <w:rPr>
          <w:rFonts w:ascii="Arial" w:eastAsia="Arial" w:hAnsi="Arial" w:cs="Arial"/>
          <w:color w:val="000000"/>
          <w:szCs w:val="22"/>
        </w:rPr>
        <w:t>)</w:t>
      </w:r>
    </w:p>
    <w:p w14:paraId="4754C16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p>
    <w:p w14:paraId="443FD04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 </w:t>
      </w:r>
      <w:r w:rsidRPr="00D06CD3">
        <w:rPr>
          <w:rFonts w:ascii="Arial" w:eastAsia="Arial" w:hAnsi="Arial" w:cs="Arial"/>
          <w:b/>
          <w:iCs/>
          <w:color w:val="000000"/>
          <w:szCs w:val="22"/>
        </w:rPr>
        <w:t>ha / non ha</w:t>
      </w:r>
      <w:r>
        <w:rPr>
          <w:rFonts w:ascii="Arial" w:eastAsia="Arial" w:hAnsi="Arial" w:cs="Arial"/>
          <w:color w:val="000000"/>
          <w:szCs w:val="22"/>
        </w:rPr>
        <w:t xml:space="preserve"> effettuato le operazioni di bonifica delle banche dati al fine di allineare i dati presenti sulla Piattaforma dei crediti commerciali con le scritture contabili dell’Ente;</w:t>
      </w:r>
    </w:p>
    <w:p w14:paraId="641C3FC1" w14:textId="39FF4E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Pr>
          <w:rFonts w:ascii="Arial" w:eastAsia="Arial" w:hAnsi="Arial" w:cs="Arial"/>
          <w:b/>
          <w:color w:val="000000"/>
          <w:szCs w:val="22"/>
        </w:rPr>
        <w:t>ha/non ha</w:t>
      </w:r>
      <w:r>
        <w:rPr>
          <w:rFonts w:ascii="Arial" w:eastAsia="Arial" w:hAnsi="Arial" w:cs="Arial"/>
          <w:color w:val="000000"/>
          <w:szCs w:val="22"/>
        </w:rPr>
        <w:t xml:space="preserve"> effettuato le attività organizzative necessarie per garantire il rispetto dei parametri previsti dalla suddetta normativa.</w:t>
      </w:r>
    </w:p>
    <w:p w14:paraId="2AC6C5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69C38A7" w14:textId="5D7BF0FA" w:rsidR="000F434D" w:rsidRPr="00B20671" w:rsidRDefault="000F434D" w:rsidP="000F434D">
      <w:pPr>
        <w:pBdr>
          <w:top w:val="nil"/>
          <w:left w:val="nil"/>
          <w:bottom w:val="nil"/>
          <w:right w:val="nil"/>
          <w:between w:val="nil"/>
        </w:pBdr>
        <w:spacing w:line="240" w:lineRule="auto"/>
        <w:ind w:hanging="2"/>
        <w:rPr>
          <w:rFonts w:ascii="Arial" w:eastAsia="Arial" w:hAnsi="Arial" w:cs="Arial"/>
          <w:bCs/>
          <w:i/>
          <w:iCs/>
          <w:color w:val="00B0F0"/>
          <w:szCs w:val="22"/>
        </w:rPr>
      </w:pPr>
      <w:r w:rsidRPr="007E0347">
        <w:rPr>
          <w:rFonts w:ascii="Arial" w:eastAsia="Arial" w:hAnsi="Arial" w:cs="Arial"/>
          <w:b/>
          <w:i/>
          <w:iCs/>
          <w:color w:val="00B0F0"/>
          <w:szCs w:val="22"/>
        </w:rPr>
        <w:t>N.B.</w:t>
      </w:r>
      <w:r w:rsidR="00160626">
        <w:rPr>
          <w:rFonts w:ascii="Arial" w:eastAsia="Arial" w:hAnsi="Arial" w:cs="Arial"/>
          <w:b/>
          <w:i/>
          <w:iCs/>
          <w:color w:val="00B0F0"/>
          <w:szCs w:val="22"/>
        </w:rPr>
        <w:t xml:space="preserve"> </w:t>
      </w:r>
      <w:r w:rsidR="008350B1">
        <w:rPr>
          <w:rFonts w:ascii="Arial" w:eastAsia="Arial" w:hAnsi="Arial" w:cs="Arial"/>
          <w:b/>
          <w:i/>
          <w:iCs/>
          <w:color w:val="00B0F0"/>
          <w:szCs w:val="22"/>
        </w:rPr>
        <w:t>(1)</w:t>
      </w:r>
      <w:r w:rsidRPr="007E0347">
        <w:rPr>
          <w:rFonts w:ascii="Arial" w:eastAsia="Arial" w:hAnsi="Arial" w:cs="Arial"/>
          <w:b/>
          <w:i/>
          <w:iCs/>
          <w:color w:val="00B0F0"/>
          <w:szCs w:val="22"/>
        </w:rPr>
        <w:t xml:space="preserve"> </w:t>
      </w:r>
      <w:r w:rsidRPr="00B20671">
        <w:rPr>
          <w:rFonts w:ascii="Arial" w:eastAsia="Arial" w:hAnsi="Arial" w:cs="Arial"/>
          <w:bCs/>
          <w:i/>
          <w:iCs/>
          <w:color w:val="00B0F0"/>
          <w:szCs w:val="22"/>
        </w:rPr>
        <w:t>Nel caso in cui l’</w:t>
      </w:r>
      <w:r w:rsidR="0016197D" w:rsidRPr="00B20671">
        <w:rPr>
          <w:rFonts w:ascii="Arial" w:eastAsia="Arial" w:hAnsi="Arial" w:cs="Arial"/>
          <w:bCs/>
          <w:i/>
          <w:iCs/>
          <w:color w:val="00B0F0"/>
          <w:szCs w:val="22"/>
        </w:rPr>
        <w:t>E</w:t>
      </w:r>
      <w:r w:rsidRPr="00B20671">
        <w:rPr>
          <w:rFonts w:ascii="Arial" w:eastAsia="Arial" w:hAnsi="Arial" w:cs="Arial"/>
          <w:bCs/>
          <w:i/>
          <w:iCs/>
          <w:color w:val="00B0F0"/>
          <w:szCs w:val="22"/>
        </w:rPr>
        <w:t>nte debba effettuare l’accantonamento al FGDC, si invita l’Organo di revisione a soffermarsi sulla natura delle cause e ad effettuare le dovute considerazioni affinché l’</w:t>
      </w:r>
      <w:r w:rsidR="0016197D" w:rsidRPr="00B20671">
        <w:rPr>
          <w:rFonts w:ascii="Arial" w:eastAsia="Arial" w:hAnsi="Arial" w:cs="Arial"/>
          <w:bCs/>
          <w:i/>
          <w:iCs/>
          <w:color w:val="00B0F0"/>
          <w:szCs w:val="22"/>
        </w:rPr>
        <w:t>E</w:t>
      </w:r>
      <w:r w:rsidRPr="00B20671">
        <w:rPr>
          <w:rFonts w:ascii="Arial" w:eastAsia="Arial" w:hAnsi="Arial" w:cs="Arial"/>
          <w:bCs/>
          <w:i/>
          <w:iCs/>
          <w:color w:val="00B0F0"/>
          <w:szCs w:val="22"/>
        </w:rPr>
        <w:t>nte provveda a rispettare i tempi di pagamento e alla riduzione del proprio stock di debito commerciale.</w:t>
      </w:r>
    </w:p>
    <w:p w14:paraId="6A02776E" w14:textId="35FAA7FD" w:rsidR="000548F0" w:rsidRPr="00B20671" w:rsidRDefault="002765A0" w:rsidP="000548F0">
      <w:pPr>
        <w:pBdr>
          <w:top w:val="nil"/>
          <w:left w:val="nil"/>
          <w:bottom w:val="nil"/>
          <w:right w:val="nil"/>
          <w:between w:val="nil"/>
        </w:pBdr>
        <w:spacing w:line="240" w:lineRule="auto"/>
        <w:ind w:hanging="2"/>
        <w:rPr>
          <w:rFonts w:ascii="Arial" w:eastAsia="Arial" w:hAnsi="Arial" w:cs="Arial"/>
          <w:bCs/>
          <w:i/>
          <w:iCs/>
          <w:color w:val="00B0F0"/>
          <w:szCs w:val="22"/>
        </w:rPr>
      </w:pPr>
      <w:r>
        <w:rPr>
          <w:rFonts w:ascii="Arial" w:eastAsia="Arial" w:hAnsi="Arial" w:cs="Arial"/>
          <w:b/>
          <w:i/>
          <w:iCs/>
          <w:color w:val="00B0F0"/>
          <w:szCs w:val="22"/>
        </w:rPr>
        <w:t xml:space="preserve">N.B. </w:t>
      </w:r>
      <w:r w:rsidR="008350B1">
        <w:rPr>
          <w:rFonts w:ascii="Arial" w:eastAsia="Arial" w:hAnsi="Arial" w:cs="Arial"/>
          <w:b/>
          <w:i/>
          <w:iCs/>
          <w:color w:val="00B0F0"/>
          <w:szCs w:val="22"/>
        </w:rPr>
        <w:t>(</w:t>
      </w:r>
      <w:r>
        <w:rPr>
          <w:rFonts w:ascii="Arial" w:eastAsia="Arial" w:hAnsi="Arial" w:cs="Arial"/>
          <w:b/>
          <w:i/>
          <w:iCs/>
          <w:color w:val="00B0F0"/>
          <w:szCs w:val="22"/>
        </w:rPr>
        <w:t>2</w:t>
      </w:r>
      <w:r w:rsidR="008350B1">
        <w:rPr>
          <w:rFonts w:ascii="Arial" w:eastAsia="Arial" w:hAnsi="Arial" w:cs="Arial"/>
          <w:b/>
          <w:i/>
          <w:iCs/>
          <w:color w:val="00B0F0"/>
          <w:szCs w:val="22"/>
        </w:rPr>
        <w:t xml:space="preserve">) </w:t>
      </w:r>
      <w:r w:rsidR="000548F0" w:rsidRPr="00B20671">
        <w:rPr>
          <w:rFonts w:ascii="Arial" w:eastAsia="Arial" w:hAnsi="Arial" w:cs="Arial"/>
          <w:bCs/>
          <w:i/>
          <w:iCs/>
          <w:color w:val="00B0F0"/>
          <w:szCs w:val="22"/>
        </w:rPr>
        <w:t>Con la deliberazione n. 20/SEZAUT/2025/QMIG, la Sezione delle Autonomie della Corte dei conti ha chiarito un importante principio interpretativo in materia di Fondo di garanzia dei debiti commerciali, sciogliendo un nodo applicativo che negli ultimi esercizi aveva generato letture non uniformi tra enti e organi di controllo.</w:t>
      </w:r>
      <w:r w:rsidR="008350B1" w:rsidRPr="00B20671">
        <w:rPr>
          <w:rFonts w:ascii="Arial" w:eastAsia="Arial" w:hAnsi="Arial" w:cs="Arial"/>
          <w:bCs/>
          <w:i/>
          <w:iCs/>
          <w:color w:val="00B0F0"/>
          <w:szCs w:val="22"/>
        </w:rPr>
        <w:t xml:space="preserve"> </w:t>
      </w:r>
      <w:r w:rsidR="000548F0" w:rsidRPr="00B20671">
        <w:rPr>
          <w:rFonts w:ascii="Arial" w:eastAsia="Arial" w:hAnsi="Arial" w:cs="Arial"/>
          <w:bCs/>
          <w:i/>
          <w:iCs/>
          <w:color w:val="00B0F0"/>
          <w:szCs w:val="22"/>
        </w:rPr>
        <w:t>Secondo la Corte:</w:t>
      </w:r>
      <w:r w:rsidR="008350B1" w:rsidRPr="00B20671">
        <w:rPr>
          <w:rFonts w:ascii="Arial" w:eastAsia="Arial" w:hAnsi="Arial" w:cs="Arial"/>
          <w:bCs/>
          <w:i/>
          <w:iCs/>
          <w:color w:val="00B0F0"/>
          <w:szCs w:val="22"/>
        </w:rPr>
        <w:t xml:space="preserve"> </w:t>
      </w:r>
      <w:r w:rsidR="000548F0" w:rsidRPr="00B20671">
        <w:rPr>
          <w:rFonts w:ascii="Arial" w:eastAsia="Arial" w:hAnsi="Arial" w:cs="Arial"/>
          <w:bCs/>
          <w:i/>
          <w:iCs/>
          <w:color w:val="00B0F0"/>
          <w:szCs w:val="22"/>
        </w:rPr>
        <w:t>“Il secondo periodo del comma 863 dell’articolo 1 della legge n. 145/2018, come modificato dall’articolo 38-bis della legge n. 58/2019, deve essere interpretato nel senso che il Fondo di garanzia dei debiti commerciali accantonato nel risultato di amministrazione è liberato, in sede di rendiconto, nell’esercizio immediatamente successivo a quello in cui risultano rispettate le condizioni di cui alle lettere a) e b) del comma 859 del medesimo articolo.”</w:t>
      </w:r>
    </w:p>
    <w:p w14:paraId="7BAC9AE9" w14:textId="2BFBC441" w:rsidR="000548F0" w:rsidRPr="00B20671" w:rsidRDefault="008350B1" w:rsidP="000548F0">
      <w:pPr>
        <w:pBdr>
          <w:top w:val="nil"/>
          <w:left w:val="nil"/>
          <w:bottom w:val="nil"/>
          <w:right w:val="nil"/>
          <w:between w:val="nil"/>
        </w:pBdr>
        <w:spacing w:line="240" w:lineRule="auto"/>
        <w:ind w:hanging="2"/>
        <w:rPr>
          <w:rFonts w:ascii="Arial" w:eastAsia="Arial" w:hAnsi="Arial" w:cs="Arial"/>
          <w:bCs/>
          <w:i/>
          <w:iCs/>
          <w:color w:val="00B0F0"/>
          <w:szCs w:val="22"/>
        </w:rPr>
      </w:pPr>
      <w:r w:rsidRPr="00B20671">
        <w:rPr>
          <w:rFonts w:ascii="Arial" w:eastAsia="Arial" w:hAnsi="Arial" w:cs="Arial"/>
          <w:bCs/>
          <w:i/>
          <w:iCs/>
          <w:color w:val="00B0F0"/>
          <w:szCs w:val="22"/>
        </w:rPr>
        <w:t>Pertanto</w:t>
      </w:r>
      <w:r w:rsidR="000548F0" w:rsidRPr="00B20671">
        <w:rPr>
          <w:rFonts w:ascii="Arial" w:eastAsia="Arial" w:hAnsi="Arial" w:cs="Arial"/>
          <w:bCs/>
          <w:i/>
          <w:iCs/>
          <w:color w:val="00B0F0"/>
          <w:szCs w:val="22"/>
        </w:rPr>
        <w:t>, la liberazione dell’accantonamento non è automatica né discrezionale, ma condizionata al verificarsi dei requisiti oggettivi di regolarità dei pagamenti e tempestività nelle transazioni commerciali.</w:t>
      </w:r>
    </w:p>
    <w:p w14:paraId="4A6C586E" w14:textId="77777777" w:rsidR="00CB4E8D" w:rsidRDefault="00CB4E8D" w:rsidP="00B20671">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6513ADEE" w14:textId="6D9363E6" w:rsidR="008350B1" w:rsidRPr="00B96B45" w:rsidRDefault="008350B1" w:rsidP="00B20671">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72" w:name="_Toc219808183"/>
      <w:r w:rsidRPr="00B96B45">
        <w:rPr>
          <w:rFonts w:ascii="Calibri" w:eastAsiaTheme="majorEastAsia" w:hAnsi="Calibri" w:cs="Times New Roman (Titoli CS)"/>
          <w:b/>
          <w:i/>
          <w:iCs/>
          <w:color w:val="C00000"/>
          <w:sz w:val="28"/>
          <w:szCs w:val="40"/>
        </w:rPr>
        <w:t>8.</w:t>
      </w:r>
      <w:r>
        <w:rPr>
          <w:rFonts w:ascii="Calibri" w:eastAsiaTheme="majorEastAsia" w:hAnsi="Calibri" w:cs="Times New Roman (Titoli CS)"/>
          <w:b/>
          <w:i/>
          <w:iCs/>
          <w:color w:val="C00000"/>
          <w:sz w:val="28"/>
          <w:szCs w:val="40"/>
        </w:rPr>
        <w:t>6</w:t>
      </w:r>
      <w:r w:rsidRPr="00B96B45">
        <w:rPr>
          <w:rFonts w:ascii="Calibri" w:eastAsiaTheme="majorEastAsia" w:hAnsi="Calibri" w:cs="Times New Roman (Titoli CS)"/>
          <w:b/>
          <w:i/>
          <w:iCs/>
          <w:color w:val="C00000"/>
          <w:sz w:val="28"/>
          <w:szCs w:val="40"/>
        </w:rPr>
        <w:t xml:space="preserve">. Fondo </w:t>
      </w:r>
      <w:r w:rsidR="00B20671">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obiettivi</w:t>
      </w:r>
      <w:r w:rsidR="00B20671">
        <w:rPr>
          <w:rFonts w:ascii="Calibri" w:eastAsiaTheme="majorEastAsia" w:hAnsi="Calibri" w:cs="Times New Roman (Titoli CS)"/>
          <w:b/>
          <w:i/>
          <w:iCs/>
          <w:color w:val="C00000"/>
          <w:sz w:val="28"/>
          <w:szCs w:val="40"/>
        </w:rPr>
        <w:t xml:space="preserve"> di finanza pubblica”</w:t>
      </w:r>
      <w:bookmarkEnd w:id="72"/>
      <w:r w:rsidRPr="00B96B45">
        <w:rPr>
          <w:rFonts w:ascii="Calibri" w:eastAsiaTheme="majorEastAsia" w:hAnsi="Calibri" w:cs="Times New Roman (Titoli CS)"/>
          <w:b/>
          <w:i/>
          <w:iCs/>
          <w:color w:val="C00000"/>
          <w:sz w:val="28"/>
          <w:szCs w:val="40"/>
        </w:rPr>
        <w:t xml:space="preserve"> </w:t>
      </w:r>
    </w:p>
    <w:p w14:paraId="245F4CA1" w14:textId="7637DDE0" w:rsidR="008350B1" w:rsidRDefault="008350B1" w:rsidP="008350B1">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B20671">
        <w:rPr>
          <w:rFonts w:ascii="Arial" w:eastAsia="Arial" w:hAnsi="Arial" w:cs="Arial"/>
          <w:color w:val="auto"/>
          <w:szCs w:val="22"/>
        </w:rPr>
        <w:t>L’Organo di revisione ha verificato che l’E</w:t>
      </w:r>
      <w:r w:rsidRPr="00123ADD">
        <w:rPr>
          <w:rFonts w:ascii="Arial" w:eastAsia="Arial" w:hAnsi="Arial" w:cs="Arial"/>
          <w:color w:val="auto"/>
          <w:szCs w:val="22"/>
        </w:rPr>
        <w:t xml:space="preserve">nte </w:t>
      </w:r>
      <w:r w:rsidRPr="00123ADD">
        <w:rPr>
          <w:rFonts w:ascii="Arial" w:eastAsia="Arial" w:hAnsi="Arial" w:cs="Arial"/>
          <w:b/>
          <w:bCs/>
          <w:color w:val="auto"/>
          <w:szCs w:val="22"/>
        </w:rPr>
        <w:t>ha stanziato/non ha stanziato</w:t>
      </w:r>
      <w:r w:rsidRPr="00123ADD">
        <w:rPr>
          <w:rFonts w:ascii="Arial" w:eastAsia="Arial" w:hAnsi="Arial" w:cs="Arial"/>
          <w:color w:val="auto"/>
          <w:szCs w:val="22"/>
        </w:rPr>
        <w:t xml:space="preserve"> al bilancio di previsione 2026</w:t>
      </w:r>
      <w:r w:rsidRPr="00B20671">
        <w:rPr>
          <w:rFonts w:ascii="Arial" w:eastAsia="Arial" w:hAnsi="Arial" w:cs="Arial"/>
          <w:color w:val="auto"/>
          <w:szCs w:val="22"/>
        </w:rPr>
        <w:t>-</w:t>
      </w:r>
      <w:r w:rsidRPr="00123ADD">
        <w:rPr>
          <w:rFonts w:ascii="Arial" w:eastAsia="Arial" w:hAnsi="Arial" w:cs="Arial"/>
          <w:color w:val="auto"/>
          <w:szCs w:val="22"/>
        </w:rPr>
        <w:t>2028 nella missione 20, il Fondo obiettivi di finanza pubblica, istituito dall’art. 1, comma 789, della legge n. 207 del 2024 per l’importo stabilito dal DM 4/3/2025</w:t>
      </w:r>
      <w:r w:rsidRPr="00B20671">
        <w:rPr>
          <w:rFonts w:ascii="Arial" w:eastAsia="Arial" w:hAnsi="Arial" w:cs="Arial"/>
          <w:color w:val="auto"/>
          <w:szCs w:val="22"/>
        </w:rPr>
        <w:t>.</w:t>
      </w:r>
      <w:r>
        <w:rPr>
          <w:rFonts w:ascii="Arial" w:eastAsia="Arial" w:hAnsi="Arial" w:cs="Arial"/>
          <w:color w:val="auto"/>
          <w:szCs w:val="22"/>
        </w:rPr>
        <w:t xml:space="preserve"> </w:t>
      </w:r>
      <w:r w:rsidRPr="00123ADD">
        <w:rPr>
          <w:rFonts w:ascii="Arial" w:eastAsia="Arial" w:hAnsi="Arial" w:cs="Arial"/>
          <w:i/>
          <w:iCs/>
          <w:color w:val="00B0F0"/>
          <w:szCs w:val="22"/>
        </w:rPr>
        <w:t>(</w:t>
      </w:r>
      <w:r w:rsidRPr="00B206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8B7F88E" w14:textId="770B80AC" w:rsidR="008350B1" w:rsidRPr="00123ADD" w:rsidRDefault="008350B1" w:rsidP="008350B1">
      <w:pPr>
        <w:pBdr>
          <w:top w:val="nil"/>
          <w:left w:val="nil"/>
          <w:bottom w:val="nil"/>
          <w:right w:val="nil"/>
          <w:between w:val="nil"/>
        </w:pBdr>
        <w:spacing w:line="240" w:lineRule="auto"/>
        <w:ind w:hanging="2"/>
        <w:rPr>
          <w:rFonts w:ascii="Arial" w:eastAsia="Arial" w:hAnsi="Arial" w:cs="Arial"/>
          <w:color w:val="auto"/>
          <w:szCs w:val="22"/>
        </w:rPr>
      </w:pPr>
    </w:p>
    <w:p w14:paraId="54C74DCE" w14:textId="77777777" w:rsidR="008350B1" w:rsidRPr="00123ADD" w:rsidRDefault="008350B1" w:rsidP="008350B1">
      <w:pPr>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Il fondo deve essere stanziato dai comuni, le province e le città metropolitane delle regioni a statuto ordinario, della Regione siciliana e della regione Sardegna. Sono esclusi enti in dissesto ai sensi dell'articolo 244 del testo unico delle leggi sull'ordinamento degli enti locali, di cui al decreto legislativo 18 agosto 2000, n. 267, o in procedura di riequilibrio finanziario, ai sensi dell'articolo 243-bis del medesimo testo unico di cui al decreto legislativo 18 agosto 2000, n. 267, alla data del 1° gennaio 2025 o che abbiano sottoscritto gli accordi di cui all'articolo 1, comma 572, della legge 30 dicembre 2021, n. 234, e di cui all'articolo 43, comma 2, del decreto-legge 17 maggio 2022, n. 50, convertito, con modificazioni, dalla legge 15 luglio 2022, n. 91.</w:t>
      </w:r>
    </w:p>
    <w:p w14:paraId="7D00B917" w14:textId="0242B195" w:rsidR="008350B1" w:rsidRPr="00123ADD" w:rsidRDefault="008350B1" w:rsidP="008350B1">
      <w:pPr>
        <w:rPr>
          <w:rFonts w:ascii="Arial" w:eastAsia="Arial" w:hAnsi="Arial" w:cs="Arial"/>
          <w:color w:val="auto"/>
          <w:szCs w:val="22"/>
        </w:rPr>
      </w:pPr>
      <w:r w:rsidRPr="00123ADD">
        <w:rPr>
          <w:rFonts w:ascii="Arial" w:eastAsia="Arial" w:hAnsi="Arial" w:cs="Arial"/>
          <w:color w:val="auto"/>
          <w:szCs w:val="22"/>
        </w:rPr>
        <w:t>L’organo di revisione ha verificato che l’</w:t>
      </w:r>
      <w:r>
        <w:rPr>
          <w:rFonts w:ascii="Arial" w:eastAsia="Arial" w:hAnsi="Arial" w:cs="Arial"/>
          <w:color w:val="auto"/>
          <w:szCs w:val="22"/>
        </w:rPr>
        <w:t>E</w:t>
      </w:r>
      <w:r w:rsidRPr="00123ADD">
        <w:rPr>
          <w:rFonts w:ascii="Arial" w:eastAsia="Arial" w:hAnsi="Arial" w:cs="Arial"/>
          <w:color w:val="auto"/>
          <w:szCs w:val="22"/>
        </w:rPr>
        <w:t xml:space="preserve">nte </w:t>
      </w:r>
      <w:r w:rsidRPr="00123ADD">
        <w:rPr>
          <w:rFonts w:ascii="Arial" w:eastAsia="Arial" w:hAnsi="Arial" w:cs="Arial"/>
          <w:b/>
          <w:bCs/>
          <w:color w:val="auto"/>
          <w:szCs w:val="22"/>
        </w:rPr>
        <w:t>ha indicato/non ha indicato</w:t>
      </w:r>
      <w:r w:rsidRPr="00123ADD">
        <w:rPr>
          <w:rFonts w:ascii="Arial" w:eastAsia="Arial" w:hAnsi="Arial" w:cs="Arial"/>
          <w:color w:val="auto"/>
          <w:szCs w:val="22"/>
        </w:rPr>
        <w:t xml:space="preserve"> nel prospetto del risultato di amministrazione presunto l’importo del Fondo obiettivi di finanza pubblica </w:t>
      </w:r>
      <w:r w:rsidR="00B20671">
        <w:rPr>
          <w:rFonts w:ascii="Arial" w:eastAsia="Arial" w:hAnsi="Arial" w:cs="Arial"/>
          <w:color w:val="auto"/>
          <w:szCs w:val="22"/>
        </w:rPr>
        <w:t xml:space="preserve">che </w:t>
      </w:r>
      <w:r w:rsidRPr="00123ADD">
        <w:rPr>
          <w:rFonts w:ascii="Arial" w:eastAsia="Arial" w:hAnsi="Arial" w:cs="Arial"/>
          <w:color w:val="auto"/>
          <w:szCs w:val="22"/>
        </w:rPr>
        <w:t xml:space="preserve">dovrà </w:t>
      </w:r>
      <w:r w:rsidRPr="00123ADD">
        <w:rPr>
          <w:rFonts w:ascii="Arial" w:eastAsia="Arial" w:hAnsi="Arial" w:cs="Arial"/>
          <w:color w:val="auto"/>
          <w:szCs w:val="22"/>
        </w:rPr>
        <w:lastRenderedPageBreak/>
        <w:t>essere verificato in sede di rendiconto nel quale l’allegato A1 dovrà essere compilato come indicato negli esempi inseriti nel principio contabile 4/1 con DM 5/02/2025.</w:t>
      </w:r>
    </w:p>
    <w:p w14:paraId="1FC99EB8" w14:textId="7A226FC5" w:rsidR="008350B1" w:rsidRPr="00123ADD" w:rsidRDefault="008350B1" w:rsidP="008350B1">
      <w:pPr>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w:t>
      </w:r>
      <w:r>
        <w:rPr>
          <w:rFonts w:ascii="Arial" w:eastAsia="Arial" w:hAnsi="Arial" w:cs="Arial"/>
          <w:i/>
          <w:iCs/>
          <w:color w:val="00B0F0"/>
          <w:szCs w:val="22"/>
        </w:rPr>
        <w:t>S</w:t>
      </w:r>
      <w:r w:rsidRPr="00123ADD">
        <w:rPr>
          <w:rFonts w:ascii="Arial" w:eastAsia="Arial" w:hAnsi="Arial" w:cs="Arial"/>
          <w:i/>
          <w:iCs/>
          <w:color w:val="00B0F0"/>
          <w:szCs w:val="22"/>
        </w:rPr>
        <w:t xml:space="preserve">i ricorda che in sede di bilancio di previsione, il prospetto A1 deve essere allegato al bilancio </w:t>
      </w:r>
      <w:r w:rsidRPr="00123ADD">
        <w:rPr>
          <w:rFonts w:ascii="Arial" w:eastAsia="Arial" w:hAnsi="Arial" w:cs="Arial"/>
          <w:b/>
          <w:bCs/>
          <w:i/>
          <w:iCs/>
          <w:color w:val="00B0F0"/>
          <w:szCs w:val="22"/>
        </w:rPr>
        <w:t>so</w:t>
      </w:r>
      <w:r w:rsidR="00AE2E58" w:rsidRPr="00123ADD">
        <w:rPr>
          <w:rFonts w:ascii="Arial" w:eastAsia="Arial" w:hAnsi="Arial" w:cs="Arial"/>
          <w:b/>
          <w:bCs/>
          <w:i/>
          <w:iCs/>
          <w:color w:val="00B0F0"/>
          <w:szCs w:val="22"/>
        </w:rPr>
        <w:t>l</w:t>
      </w:r>
      <w:r w:rsidRPr="00123ADD">
        <w:rPr>
          <w:rFonts w:ascii="Arial" w:eastAsia="Arial" w:hAnsi="Arial" w:cs="Arial"/>
          <w:b/>
          <w:bCs/>
          <w:i/>
          <w:iCs/>
          <w:color w:val="00B0F0"/>
          <w:szCs w:val="22"/>
        </w:rPr>
        <w:t>o nel caso</w:t>
      </w:r>
      <w:r w:rsidRPr="00123ADD">
        <w:rPr>
          <w:rFonts w:ascii="Arial" w:eastAsia="Arial" w:hAnsi="Arial" w:cs="Arial"/>
          <w:i/>
          <w:iCs/>
          <w:color w:val="00B0F0"/>
          <w:szCs w:val="22"/>
        </w:rPr>
        <w:t xml:space="preserve"> in cui al bilancio sia applicato l’avanzo accantonato. Tuttavia, poiché il Fondo è stato accantonato nel corso del 2025 e il rendiconto 2025 non è ancora stato approvato, non può essere immediatamente applicato al bilancio di previsione 2026-2028. Pertanto, gli enti in avanzo possono:</w:t>
      </w:r>
    </w:p>
    <w:p w14:paraId="14DAB9F6" w14:textId="77777777" w:rsidR="008350B1" w:rsidRPr="00123ADD" w:rsidRDefault="008350B1" w:rsidP="008350B1">
      <w:pPr>
        <w:pStyle w:val="Paragrafoelenco"/>
        <w:numPr>
          <w:ilvl w:val="0"/>
          <w:numId w:val="22"/>
        </w:numPr>
        <w:spacing w:line="259" w:lineRule="auto"/>
        <w:jc w:val="both"/>
        <w:rPr>
          <w:rFonts w:ascii="Arial" w:eastAsia="Arial" w:hAnsi="Arial" w:cs="Arial"/>
          <w:i/>
          <w:iCs/>
          <w:color w:val="00B0F0"/>
        </w:rPr>
      </w:pPr>
      <w:bookmarkStart w:id="73" w:name="_Hlk183510982"/>
      <w:r w:rsidRPr="00123ADD">
        <w:rPr>
          <w:rFonts w:ascii="Arial" w:eastAsia="Arial" w:hAnsi="Arial" w:cs="Arial"/>
          <w:i/>
          <w:iCs/>
          <w:color w:val="00B0F0"/>
        </w:rPr>
        <w:t>con variazione di bilancio dal mese di gennaio 2026, prima dell’approvazione del rendiconto 2025, applicare il Fondo al bilancio di previsione 2026-2028 a seguito della verifica di preconsuntivo riguardante tutte le entrate e le spese ed aggiornando il prospetto del risultato di amministrazione presunto insieme al prospetto A1</w:t>
      </w:r>
    </w:p>
    <w:p w14:paraId="261CBFED" w14:textId="77777777" w:rsidR="008350B1" w:rsidRPr="00123ADD" w:rsidRDefault="008350B1" w:rsidP="008350B1">
      <w:pPr>
        <w:pStyle w:val="Paragrafoelenco"/>
        <w:numPr>
          <w:ilvl w:val="0"/>
          <w:numId w:val="22"/>
        </w:numPr>
        <w:spacing w:line="259" w:lineRule="auto"/>
        <w:jc w:val="both"/>
        <w:rPr>
          <w:rFonts w:ascii="Arial" w:eastAsia="Arial" w:hAnsi="Arial" w:cs="Arial"/>
          <w:i/>
          <w:iCs/>
          <w:color w:val="00B0F0"/>
        </w:rPr>
      </w:pPr>
      <w:r w:rsidRPr="00123ADD">
        <w:rPr>
          <w:rFonts w:ascii="Arial" w:eastAsia="Arial" w:hAnsi="Arial" w:cs="Arial"/>
          <w:i/>
          <w:iCs/>
          <w:color w:val="00B0F0"/>
        </w:rPr>
        <w:t>applicare il Fondo al bilancio di previsione può essere rinviata a seguito dell’approvazione del rendiconto).</w:t>
      </w:r>
      <w:bookmarkEnd w:id="73"/>
    </w:p>
    <w:p w14:paraId="4CE9AE1B" w14:textId="51F82A7D" w:rsidR="008350B1" w:rsidRPr="00123ADD" w:rsidRDefault="008350B1" w:rsidP="008350B1">
      <w:pPr>
        <w:rPr>
          <w:rFonts w:ascii="Arial" w:eastAsia="Arial" w:hAnsi="Arial" w:cs="Arial"/>
          <w:i/>
          <w:iCs/>
          <w:color w:val="00B0F0"/>
          <w:szCs w:val="22"/>
        </w:rPr>
      </w:pPr>
      <w:r w:rsidRPr="00123ADD">
        <w:rPr>
          <w:rFonts w:ascii="Arial" w:eastAsia="Arial" w:hAnsi="Arial" w:cs="Arial"/>
          <w:i/>
          <w:iCs/>
          <w:color w:val="00B0F0"/>
          <w:szCs w:val="22"/>
        </w:rPr>
        <w:t>I</w:t>
      </w:r>
      <w:r w:rsidR="00F442DE">
        <w:rPr>
          <w:rFonts w:ascii="Arial" w:eastAsia="Arial" w:hAnsi="Arial" w:cs="Arial"/>
          <w:i/>
          <w:iCs/>
          <w:color w:val="00B0F0"/>
          <w:szCs w:val="22"/>
        </w:rPr>
        <w:t xml:space="preserve">n </w:t>
      </w:r>
      <w:r w:rsidRPr="00123ADD">
        <w:rPr>
          <w:rFonts w:ascii="Arial" w:eastAsia="Arial" w:hAnsi="Arial" w:cs="Arial"/>
          <w:i/>
          <w:iCs/>
          <w:color w:val="00B0F0"/>
          <w:szCs w:val="22"/>
        </w:rPr>
        <w:t>gennaio 2026, con variazione di bilancio approvata da</w:t>
      </w:r>
      <w:r w:rsidR="00F442DE">
        <w:rPr>
          <w:rFonts w:ascii="Arial" w:eastAsia="Arial" w:hAnsi="Arial" w:cs="Arial"/>
          <w:i/>
          <w:iCs/>
          <w:color w:val="00B0F0"/>
          <w:szCs w:val="22"/>
        </w:rPr>
        <w:t xml:space="preserve"> Consiglio</w:t>
      </w:r>
      <w:r w:rsidRPr="00123ADD">
        <w:rPr>
          <w:rFonts w:ascii="Arial" w:eastAsia="Arial" w:hAnsi="Arial" w:cs="Arial"/>
          <w:i/>
          <w:iCs/>
          <w:color w:val="00B0F0"/>
          <w:szCs w:val="22"/>
        </w:rPr>
        <w:t>, l’ente</w:t>
      </w:r>
      <w:r w:rsidR="00F6075B">
        <w:rPr>
          <w:rFonts w:ascii="Arial" w:eastAsia="Arial" w:hAnsi="Arial" w:cs="Arial"/>
          <w:i/>
          <w:iCs/>
          <w:color w:val="00B0F0"/>
          <w:szCs w:val="22"/>
        </w:rPr>
        <w:t xml:space="preserve"> può</w:t>
      </w:r>
      <w:r w:rsidRPr="00123ADD">
        <w:rPr>
          <w:rFonts w:ascii="Arial" w:eastAsia="Arial" w:hAnsi="Arial" w:cs="Arial"/>
          <w:i/>
          <w:iCs/>
          <w:color w:val="00B0F0"/>
          <w:szCs w:val="22"/>
        </w:rPr>
        <w:t xml:space="preserve"> applica</w:t>
      </w:r>
      <w:r w:rsidR="00123ADD">
        <w:rPr>
          <w:rFonts w:ascii="Arial" w:eastAsia="Arial" w:hAnsi="Arial" w:cs="Arial"/>
          <w:i/>
          <w:iCs/>
          <w:color w:val="00B0F0"/>
          <w:szCs w:val="22"/>
        </w:rPr>
        <w:t>re</w:t>
      </w:r>
      <w:r w:rsidRPr="00123ADD">
        <w:rPr>
          <w:rFonts w:ascii="Arial" w:eastAsia="Arial" w:hAnsi="Arial" w:cs="Arial"/>
          <w:i/>
          <w:iCs/>
          <w:color w:val="00B0F0"/>
          <w:szCs w:val="22"/>
        </w:rPr>
        <w:t xml:space="preserve"> il Fondo al bilancio di previsione 2026-2028 a seguito della verifica di preconsuntivo riguardante tutte le entrate e le spese (si precisa che l’applicazione del Fondo al bilancio di previsione può essere </w:t>
      </w:r>
      <w:r w:rsidR="00F6075B">
        <w:rPr>
          <w:rFonts w:ascii="Arial" w:eastAsia="Arial" w:hAnsi="Arial" w:cs="Arial"/>
          <w:i/>
          <w:iCs/>
          <w:color w:val="00B0F0"/>
          <w:szCs w:val="22"/>
        </w:rPr>
        <w:t xml:space="preserve">più semplicemente </w:t>
      </w:r>
      <w:r w:rsidRPr="00123ADD">
        <w:rPr>
          <w:rFonts w:ascii="Arial" w:eastAsia="Arial" w:hAnsi="Arial" w:cs="Arial"/>
          <w:i/>
          <w:iCs/>
          <w:color w:val="00B0F0"/>
          <w:szCs w:val="22"/>
        </w:rPr>
        <w:t>rinviata a seguito dell’approvazione del rendiconto)</w:t>
      </w:r>
      <w:r w:rsidR="00F6075B">
        <w:rPr>
          <w:rFonts w:ascii="Arial" w:eastAsia="Arial" w:hAnsi="Arial" w:cs="Arial"/>
          <w:i/>
          <w:iCs/>
          <w:color w:val="00B0F0"/>
          <w:szCs w:val="22"/>
        </w:rPr>
        <w:t>.</w:t>
      </w:r>
    </w:p>
    <w:p w14:paraId="79947DAF" w14:textId="75025833"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4" w:name="_Toc219808184"/>
      <w:r>
        <w:t>9</w:t>
      </w:r>
      <w:r w:rsidRPr="00867831">
        <w:t xml:space="preserve">. </w:t>
      </w:r>
      <w:r>
        <w:t>INDEBITAMENTO</w:t>
      </w:r>
      <w:bookmarkEnd w:id="74"/>
    </w:p>
    <w:p w14:paraId="50A694B0"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nel periodo compreso dal bilancio di previsione </w:t>
      </w:r>
      <w:r w:rsidRPr="00974BA5">
        <w:rPr>
          <w:rFonts w:ascii="Arial" w:eastAsia="Arial" w:hAnsi="Arial" w:cs="Arial"/>
          <w:b/>
          <w:iCs/>
          <w:color w:val="000000"/>
          <w:szCs w:val="22"/>
        </w:rPr>
        <w:t>risultano/non risultano</w:t>
      </w:r>
      <w:r>
        <w:rPr>
          <w:rFonts w:ascii="Arial" w:eastAsia="Arial" w:hAnsi="Arial" w:cs="Arial"/>
          <w:b/>
          <w:color w:val="000000"/>
          <w:szCs w:val="22"/>
        </w:rPr>
        <w:t xml:space="preserve"> </w:t>
      </w:r>
      <w:r>
        <w:rPr>
          <w:rFonts w:ascii="Arial" w:eastAsia="Arial" w:hAnsi="Arial" w:cs="Arial"/>
          <w:color w:val="000000"/>
          <w:szCs w:val="22"/>
        </w:rPr>
        <w:t>soddisfatte le condizioni di cui all’art. 202 del TUEL.</w:t>
      </w:r>
    </w:p>
    <w:p w14:paraId="0D6B6AFF" w14:textId="2E00AB61"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ai sensi dell’art.10 della Legge 243/2012, come modificato dall’art. 2 della legge 164/2016, </w:t>
      </w:r>
      <w:r w:rsidRPr="00DF07E5">
        <w:rPr>
          <w:rFonts w:ascii="Arial" w:eastAsia="Arial" w:hAnsi="Arial" w:cs="Arial"/>
          <w:bCs/>
          <w:iCs/>
          <w:color w:val="000000"/>
          <w:szCs w:val="22"/>
        </w:rPr>
        <w:t>ha verificato</w:t>
      </w:r>
      <w:r>
        <w:rPr>
          <w:rFonts w:ascii="Arial" w:eastAsia="Arial" w:hAnsi="Arial" w:cs="Arial"/>
          <w:b/>
          <w:i/>
          <w:color w:val="000000"/>
          <w:szCs w:val="22"/>
        </w:rPr>
        <w:t xml:space="preserve"> </w:t>
      </w:r>
      <w:r>
        <w:rPr>
          <w:rFonts w:ascii="Arial" w:eastAsia="Arial" w:hAnsi="Arial" w:cs="Arial"/>
          <w:color w:val="000000"/>
          <w:szCs w:val="22"/>
        </w:rPr>
        <w:t>che</w:t>
      </w:r>
      <w:r>
        <w:rPr>
          <w:rFonts w:ascii="Arial" w:eastAsia="Arial" w:hAnsi="Arial" w:cs="Arial"/>
          <w:b/>
          <w:i/>
          <w:color w:val="000000"/>
          <w:szCs w:val="22"/>
        </w:rPr>
        <w:t xml:space="preserve"> </w:t>
      </w:r>
      <w:r>
        <w:rPr>
          <w:rFonts w:ascii="Arial" w:eastAsia="Arial" w:hAnsi="Arial" w:cs="Arial"/>
          <w:color w:val="000000"/>
          <w:szCs w:val="22"/>
        </w:rPr>
        <w:t xml:space="preserve">le programmate operazioni di investimento </w:t>
      </w:r>
      <w:r w:rsidRPr="00DF07E5">
        <w:rPr>
          <w:rFonts w:ascii="Arial" w:eastAsia="Arial" w:hAnsi="Arial" w:cs="Arial"/>
          <w:b/>
          <w:bCs/>
          <w:color w:val="000000"/>
          <w:szCs w:val="22"/>
        </w:rPr>
        <w:t>s</w:t>
      </w:r>
      <w:r w:rsidR="0016197D">
        <w:rPr>
          <w:rFonts w:ascii="Arial" w:eastAsia="Arial" w:hAnsi="Arial" w:cs="Arial"/>
          <w:b/>
          <w:bCs/>
          <w:color w:val="000000"/>
          <w:szCs w:val="22"/>
        </w:rPr>
        <w:t>o</w:t>
      </w:r>
      <w:r w:rsidRPr="00DF07E5">
        <w:rPr>
          <w:rFonts w:ascii="Arial" w:eastAsia="Arial" w:hAnsi="Arial" w:cs="Arial"/>
          <w:b/>
          <w:bCs/>
          <w:color w:val="000000"/>
          <w:szCs w:val="22"/>
        </w:rPr>
        <w:t>no/non s</w:t>
      </w:r>
      <w:r w:rsidR="0016197D">
        <w:rPr>
          <w:rFonts w:ascii="Arial" w:eastAsia="Arial" w:hAnsi="Arial" w:cs="Arial"/>
          <w:b/>
          <w:bCs/>
          <w:color w:val="000000"/>
          <w:szCs w:val="22"/>
        </w:rPr>
        <w:t>o</w:t>
      </w:r>
      <w:r w:rsidRPr="00DF07E5">
        <w:rPr>
          <w:rFonts w:ascii="Arial" w:eastAsia="Arial" w:hAnsi="Arial" w:cs="Arial"/>
          <w:b/>
          <w:bCs/>
          <w:color w:val="000000"/>
          <w:szCs w:val="22"/>
        </w:rPr>
        <w:t>no</w:t>
      </w:r>
      <w:r>
        <w:rPr>
          <w:rFonts w:ascii="Arial" w:eastAsia="Arial" w:hAnsi="Arial" w:cs="Arial"/>
          <w:color w:val="000000"/>
          <w:szCs w:val="22"/>
        </w:rPr>
        <w:t xml:space="preserve"> accompagnate dall’adozione di piani di ammortamento di durata non superiore alla vita utile dell’investimento, nei quali sono evidenziate l’incidenza delle obbligazioni assunte sui singoli esercizi finanziari futuri, nonché le modalità di copertura degli oneri corrispondenti (c° 2). </w:t>
      </w:r>
      <w:r w:rsidRPr="003863A0">
        <w:rPr>
          <w:rFonts w:ascii="Arial" w:eastAsia="Arial" w:hAnsi="Arial" w:cs="Arial"/>
          <w:i/>
          <w:color w:val="00B0F0"/>
          <w:szCs w:val="22"/>
        </w:rPr>
        <w:t>(fornire dettaglio dei nuovi mutui che si prevede di accendere nel periodo 202</w:t>
      </w:r>
      <w:r w:rsidR="00DB2D30">
        <w:rPr>
          <w:rFonts w:ascii="Arial" w:eastAsia="Arial" w:hAnsi="Arial" w:cs="Arial"/>
          <w:i/>
          <w:color w:val="00B0F0"/>
          <w:szCs w:val="22"/>
        </w:rPr>
        <w:t>6</w:t>
      </w:r>
      <w:r w:rsidRPr="003863A0">
        <w:rPr>
          <w:rFonts w:ascii="Arial" w:eastAsia="Arial" w:hAnsi="Arial" w:cs="Arial"/>
          <w:i/>
          <w:color w:val="00B0F0"/>
          <w:szCs w:val="22"/>
        </w:rPr>
        <w:t>-202</w:t>
      </w:r>
      <w:r w:rsidR="00DB2D30">
        <w:rPr>
          <w:rFonts w:ascii="Arial" w:eastAsia="Arial" w:hAnsi="Arial" w:cs="Arial"/>
          <w:i/>
          <w:color w:val="00B0F0"/>
          <w:szCs w:val="22"/>
        </w:rPr>
        <w:t>8</w:t>
      </w:r>
      <w:r w:rsidRPr="003863A0">
        <w:rPr>
          <w:rFonts w:ascii="Arial" w:eastAsia="Arial" w:hAnsi="Arial" w:cs="Arial"/>
          <w:i/>
          <w:color w:val="00B0F0"/>
          <w:szCs w:val="22"/>
        </w:rPr>
        <w:t>)</w:t>
      </w:r>
    </w:p>
    <w:p w14:paraId="7AE6C38B" w14:textId="77777777"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sidRPr="003863A0">
        <w:rPr>
          <w:rFonts w:ascii="Arial" w:eastAsia="Arial" w:hAnsi="Arial" w:cs="Arial"/>
          <w:i/>
          <w:color w:val="00B0F0"/>
          <w:szCs w:val="22"/>
        </w:rPr>
        <w:t>(In caso negativo indicare le ragioni)</w:t>
      </w:r>
    </w:p>
    <w:p w14:paraId="573AB653" w14:textId="39734426"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L’indebitamento dell’</w:t>
      </w:r>
      <w:r w:rsidR="0016197D">
        <w:rPr>
          <w:rFonts w:ascii="Arial" w:eastAsia="Arial" w:hAnsi="Arial" w:cs="Arial"/>
          <w:b/>
          <w:color w:val="000000"/>
          <w:szCs w:val="22"/>
          <w:u w:val="single"/>
        </w:rPr>
        <w:t>E</w:t>
      </w:r>
      <w:r>
        <w:rPr>
          <w:rFonts w:ascii="Arial" w:eastAsia="Arial" w:hAnsi="Arial" w:cs="Arial"/>
          <w:b/>
          <w:color w:val="000000"/>
          <w:szCs w:val="22"/>
          <w:u w:val="single"/>
        </w:rPr>
        <w:t>nte subisce la seguente evoluzione:</w:t>
      </w:r>
    </w:p>
    <w:p w14:paraId="53AC8414" w14:textId="5EDFDAC0"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-a</w:t>
      </w:r>
    </w:p>
    <w:p w14:paraId="67278E91" w14:textId="77777777" w:rsidR="003301B0" w:rsidRPr="003301B0" w:rsidRDefault="003301B0" w:rsidP="000F434D">
      <w:pPr>
        <w:widowControl w:val="0"/>
        <w:pBdr>
          <w:top w:val="nil"/>
          <w:left w:val="nil"/>
          <w:bottom w:val="nil"/>
          <w:right w:val="nil"/>
          <w:between w:val="nil"/>
        </w:pBdr>
        <w:spacing w:line="240" w:lineRule="auto"/>
        <w:ind w:hanging="2"/>
        <w:jc w:val="center"/>
        <w:rPr>
          <w:rFonts w:ascii="Arial" w:eastAsia="Arial" w:hAnsi="Arial" w:cs="Arial"/>
          <w:color w:val="auto"/>
          <w:szCs w:val="22"/>
        </w:rPr>
      </w:pPr>
    </w:p>
    <w:p w14:paraId="1C53C7B7" w14:textId="0CDC1C55" w:rsidR="000F434D" w:rsidRPr="0016197D" w:rsidRDefault="000F434D" w:rsidP="000F434D">
      <w:pPr>
        <w:pBdr>
          <w:top w:val="nil"/>
          <w:left w:val="nil"/>
          <w:bottom w:val="nil"/>
          <w:right w:val="nil"/>
          <w:between w:val="nil"/>
        </w:pBdr>
        <w:spacing w:after="120" w:line="240" w:lineRule="auto"/>
        <w:ind w:hanging="2"/>
        <w:rPr>
          <w:rFonts w:ascii="Arial" w:eastAsia="Arial" w:hAnsi="Arial" w:cs="Arial"/>
          <w:b/>
          <w:bCs/>
          <w:i/>
          <w:color w:val="00B0F0"/>
          <w:szCs w:val="22"/>
        </w:rPr>
      </w:pPr>
      <w:r w:rsidRPr="00821AAC">
        <w:rPr>
          <w:rFonts w:ascii="Arial" w:eastAsia="Arial" w:hAnsi="Arial" w:cs="Arial"/>
          <w:b/>
          <w:bCs/>
          <w:i/>
          <w:color w:val="00B0F0"/>
          <w:szCs w:val="22"/>
        </w:rPr>
        <w:t>N.B</w:t>
      </w:r>
      <w:r w:rsidRPr="0016197D">
        <w:rPr>
          <w:rFonts w:ascii="Arial" w:eastAsia="Arial" w:hAnsi="Arial" w:cs="Arial"/>
          <w:b/>
          <w:bCs/>
          <w:i/>
          <w:color w:val="00B0F0"/>
          <w:szCs w:val="22"/>
        </w:rPr>
        <w:t>. i dati non devono comprendere il</w:t>
      </w:r>
      <w:r w:rsidR="0016197D">
        <w:rPr>
          <w:rFonts w:ascii="Arial" w:eastAsia="Arial" w:hAnsi="Arial" w:cs="Arial"/>
          <w:b/>
          <w:bCs/>
          <w:i/>
          <w:color w:val="00B0F0"/>
          <w:szCs w:val="22"/>
        </w:rPr>
        <w:t xml:space="preserve"> debito residuo per il FAL poiché non costituisce indebitamento anche se confluisce nello stato patrimoniale tra i debiti finanziari.</w:t>
      </w:r>
    </w:p>
    <w:p w14:paraId="552176CB" w14:textId="75BD8573"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l’ammontare dei prestiti previsti per il finanziamento di spese in conto capitale </w:t>
      </w:r>
      <w:r w:rsidRPr="00DF07E5">
        <w:rPr>
          <w:rFonts w:ascii="Arial" w:eastAsia="Arial" w:hAnsi="Arial" w:cs="Arial"/>
          <w:b/>
          <w:bCs/>
          <w:color w:val="000000"/>
          <w:szCs w:val="22"/>
        </w:rPr>
        <w:t>risulta/non risulta</w:t>
      </w:r>
      <w:r>
        <w:rPr>
          <w:rFonts w:ascii="Arial" w:eastAsia="Arial" w:hAnsi="Arial" w:cs="Arial"/>
          <w:color w:val="000000"/>
          <w:szCs w:val="22"/>
        </w:rPr>
        <w:t xml:space="preserve"> compatibile per gli anni 202</w:t>
      </w:r>
      <w:r w:rsidR="00DB2D30">
        <w:rPr>
          <w:rFonts w:ascii="Arial" w:eastAsia="Arial" w:hAnsi="Arial" w:cs="Arial"/>
          <w:color w:val="000000"/>
          <w:szCs w:val="22"/>
        </w:rPr>
        <w:t>6</w:t>
      </w:r>
      <w:r>
        <w:rPr>
          <w:rFonts w:ascii="Arial" w:eastAsia="Arial" w:hAnsi="Arial" w:cs="Arial"/>
          <w:color w:val="000000"/>
          <w:szCs w:val="22"/>
        </w:rPr>
        <w:t>, 202</w:t>
      </w:r>
      <w:r w:rsidR="00DB2D30">
        <w:rPr>
          <w:rFonts w:ascii="Arial" w:eastAsia="Arial" w:hAnsi="Arial" w:cs="Arial"/>
          <w:color w:val="000000"/>
          <w:szCs w:val="22"/>
        </w:rPr>
        <w:t>7</w:t>
      </w:r>
      <w:r>
        <w:rPr>
          <w:rFonts w:ascii="Arial" w:eastAsia="Arial" w:hAnsi="Arial" w:cs="Arial"/>
          <w:color w:val="000000"/>
          <w:szCs w:val="22"/>
        </w:rPr>
        <w:t xml:space="preserve"> e 202</w:t>
      </w:r>
      <w:r w:rsidR="00DB2D30">
        <w:rPr>
          <w:rFonts w:ascii="Arial" w:eastAsia="Arial" w:hAnsi="Arial" w:cs="Arial"/>
          <w:color w:val="000000"/>
          <w:szCs w:val="22"/>
        </w:rPr>
        <w:t>8</w:t>
      </w:r>
      <w:r>
        <w:rPr>
          <w:rFonts w:ascii="Arial" w:eastAsia="Arial" w:hAnsi="Arial" w:cs="Arial"/>
          <w:color w:val="000000"/>
          <w:szCs w:val="22"/>
        </w:rPr>
        <w:t xml:space="preserve"> con il limite della capacità di indebitamento previsto dall’articolo 204 del TUEL e nel rispetto dell’art.</w:t>
      </w:r>
      <w:r w:rsidR="00DB1C07">
        <w:rPr>
          <w:rFonts w:ascii="Arial" w:eastAsia="Arial" w:hAnsi="Arial" w:cs="Arial"/>
          <w:color w:val="000000"/>
          <w:szCs w:val="22"/>
        </w:rPr>
        <w:t xml:space="preserve"> </w:t>
      </w:r>
      <w:r>
        <w:rPr>
          <w:rFonts w:ascii="Arial" w:eastAsia="Arial" w:hAnsi="Arial" w:cs="Arial"/>
          <w:color w:val="000000"/>
          <w:szCs w:val="22"/>
        </w:rPr>
        <w:t>203 del TUEL.</w:t>
      </w:r>
    </w:p>
    <w:p w14:paraId="7FD7363D" w14:textId="77777777" w:rsidR="000F434D" w:rsidRPr="00112249"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sidRPr="00112249">
        <w:rPr>
          <w:rFonts w:ascii="Arial" w:eastAsia="Arial" w:hAnsi="Arial" w:cs="Arial"/>
          <w:i/>
          <w:color w:val="00B0F0"/>
          <w:szCs w:val="22"/>
        </w:rPr>
        <w:t>(In caso negativo fornire spiegazioni</w:t>
      </w:r>
      <w:r w:rsidRPr="00112249">
        <w:rPr>
          <w:rFonts w:ascii="Arial" w:eastAsia="Arial" w:hAnsi="Arial" w:cs="Arial"/>
          <w:bCs/>
          <w:i/>
          <w:color w:val="00B0F0"/>
          <w:szCs w:val="22"/>
        </w:rPr>
        <w:t>)</w:t>
      </w:r>
    </w:p>
    <w:p w14:paraId="7E48C2F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Pr>
          <w:rFonts w:ascii="Arial" w:eastAsia="Arial" w:hAnsi="Arial" w:cs="Arial"/>
          <w:b/>
          <w:i/>
          <w:color w:val="00B0F0"/>
          <w:szCs w:val="22"/>
        </w:rPr>
        <w:lastRenderedPageBreak/>
        <w:t>N.B. Nel caso di rinegoziazioni dei mutui inserire i riferimenti del parere rilasciato elencando i mutui rinegoziati, le economie e le ricadute sui bilanci degli esercizi successivi.</w:t>
      </w:r>
    </w:p>
    <w:p w14:paraId="2D2FED7B" w14:textId="77777777" w:rsidR="00B37E3E" w:rsidRDefault="00B37E3E" w:rsidP="000F434D">
      <w:pPr>
        <w:pBdr>
          <w:top w:val="nil"/>
          <w:left w:val="nil"/>
          <w:bottom w:val="nil"/>
          <w:right w:val="nil"/>
          <w:between w:val="nil"/>
        </w:pBdr>
        <w:spacing w:after="120" w:line="240" w:lineRule="auto"/>
        <w:ind w:hanging="2"/>
        <w:rPr>
          <w:rFonts w:ascii="Arial" w:eastAsia="Arial" w:hAnsi="Arial" w:cs="Arial"/>
          <w:color w:val="00B0F0"/>
          <w:szCs w:val="22"/>
        </w:rPr>
      </w:pPr>
    </w:p>
    <w:p w14:paraId="486C3A7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Interessi passivi e oneri finanziari diversi</w:t>
      </w:r>
    </w:p>
    <w:p w14:paraId="58A7DCD1" w14:textId="18506311"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FF00FF"/>
          <w:szCs w:val="22"/>
        </w:rPr>
      </w:pPr>
      <w:r>
        <w:rPr>
          <w:rFonts w:ascii="Arial" w:eastAsia="Arial" w:hAnsi="Arial" w:cs="Arial"/>
          <w:color w:val="000000"/>
          <w:szCs w:val="22"/>
        </w:rPr>
        <w:t>Gli oneri finanziari per ammortamento prestiti ed il rimborso degli stessi in conto capitale registra la seguente evoluzione:</w:t>
      </w:r>
    </w:p>
    <w:p w14:paraId="3ACF2FAB" w14:textId="54EA201E" w:rsidR="000F434D" w:rsidRPr="00E623BE" w:rsidRDefault="003301B0" w:rsidP="003301B0">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DB2D30">
        <w:rPr>
          <w:rFonts w:ascii="Arial" w:eastAsia="Arial" w:hAnsi="Arial" w:cs="Arial"/>
          <w:b/>
          <w:bCs/>
          <w:color w:val="auto"/>
          <w:szCs w:val="22"/>
        </w:rPr>
        <w:t>b</w:t>
      </w:r>
    </w:p>
    <w:p w14:paraId="3964829F" w14:textId="6ACA0DFF"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la previsione di spesa per gli anni 202</w:t>
      </w:r>
      <w:r w:rsidR="00DB2D30">
        <w:rPr>
          <w:rFonts w:ascii="Arial" w:eastAsia="Arial" w:hAnsi="Arial" w:cs="Arial"/>
          <w:color w:val="000000"/>
          <w:szCs w:val="22"/>
        </w:rPr>
        <w:t>6</w:t>
      </w:r>
      <w:r>
        <w:rPr>
          <w:rFonts w:ascii="Arial" w:eastAsia="Arial" w:hAnsi="Arial" w:cs="Arial"/>
          <w:color w:val="000000"/>
          <w:szCs w:val="22"/>
        </w:rPr>
        <w:t>, 202</w:t>
      </w:r>
      <w:r w:rsidR="00DB2D30">
        <w:rPr>
          <w:rFonts w:ascii="Arial" w:eastAsia="Arial" w:hAnsi="Arial" w:cs="Arial"/>
          <w:color w:val="000000"/>
          <w:szCs w:val="22"/>
        </w:rPr>
        <w:t>7</w:t>
      </w:r>
      <w:r>
        <w:rPr>
          <w:rFonts w:ascii="Arial" w:eastAsia="Arial" w:hAnsi="Arial" w:cs="Arial"/>
          <w:color w:val="000000"/>
          <w:szCs w:val="22"/>
        </w:rPr>
        <w:t xml:space="preserve"> e 202</w:t>
      </w:r>
      <w:r w:rsidR="00DB2D30">
        <w:rPr>
          <w:rFonts w:ascii="Arial" w:eastAsia="Arial" w:hAnsi="Arial" w:cs="Arial"/>
          <w:color w:val="000000"/>
          <w:szCs w:val="22"/>
        </w:rPr>
        <w:t>8</w:t>
      </w:r>
      <w:r>
        <w:rPr>
          <w:rFonts w:ascii="Arial" w:eastAsia="Arial" w:hAnsi="Arial" w:cs="Arial"/>
          <w:color w:val="000000"/>
          <w:szCs w:val="22"/>
        </w:rPr>
        <w:t xml:space="preserve"> per interessi passivi e oneri finanziari diversi, pari a euro ……….. </w:t>
      </w:r>
      <w:r w:rsidRPr="009D59D9">
        <w:rPr>
          <w:rFonts w:ascii="Arial" w:eastAsia="Arial" w:hAnsi="Arial" w:cs="Arial"/>
          <w:b/>
          <w:bCs/>
          <w:color w:val="000000"/>
          <w:szCs w:val="22"/>
        </w:rPr>
        <w:t>è/non è</w:t>
      </w:r>
      <w:r>
        <w:rPr>
          <w:rFonts w:ascii="Arial" w:eastAsia="Arial" w:hAnsi="Arial" w:cs="Arial"/>
          <w:color w:val="000000"/>
          <w:szCs w:val="22"/>
        </w:rPr>
        <w:t xml:space="preserve"> congrua sulla base del riepilogo predisposto dal responsabile del servizio finanziario degli altri prestiti contratti a tutt’oggi e rientra nel limite di indebitamento previsto dall’articolo 204 del TUEL</w:t>
      </w:r>
      <w:r>
        <w:rPr>
          <w:rFonts w:ascii="Arial" w:eastAsia="Arial" w:hAnsi="Arial" w:cs="Arial"/>
          <w:b/>
          <w:color w:val="000000"/>
          <w:sz w:val="20"/>
          <w:szCs w:val="20"/>
        </w:rPr>
        <w:t xml:space="preserve"> </w:t>
      </w:r>
      <w:r>
        <w:rPr>
          <w:rFonts w:ascii="Arial" w:eastAsia="Arial" w:hAnsi="Arial" w:cs="Arial"/>
          <w:color w:val="000000"/>
          <w:szCs w:val="22"/>
        </w:rPr>
        <w:t>come calcolato nel seguente prospetto</w:t>
      </w:r>
      <w:r>
        <w:rPr>
          <w:rFonts w:ascii="Arial" w:eastAsia="Arial" w:hAnsi="Arial" w:cs="Arial"/>
          <w:b/>
          <w:color w:val="000000"/>
          <w:sz w:val="20"/>
          <w:szCs w:val="20"/>
        </w:rPr>
        <w:t>.</w:t>
      </w:r>
    </w:p>
    <w:p w14:paraId="5FF3DCE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 w:val="16"/>
          <w:szCs w:val="16"/>
        </w:rPr>
      </w:pPr>
      <w:r>
        <w:rPr>
          <w:rFonts w:ascii="Arial" w:eastAsia="Arial" w:hAnsi="Arial" w:cs="Arial"/>
          <w:i/>
          <w:color w:val="000000"/>
          <w:szCs w:val="22"/>
        </w:rPr>
        <w:t>In caso negativo fornire spiegazioni.</w:t>
      </w:r>
    </w:p>
    <w:p w14:paraId="296DC31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 w:val="20"/>
          <w:szCs w:val="20"/>
          <w:highlight w:val="white"/>
        </w:rPr>
      </w:pPr>
    </w:p>
    <w:p w14:paraId="72E2F06C" w14:textId="1BF7A8BB"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c</w:t>
      </w:r>
    </w:p>
    <w:p w14:paraId="150B0BBC" w14:textId="4BDB6B10"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prevede di effettuare le seguenti operazioni qualificate come indebitamento ai sensi dell’art.3 c</w:t>
      </w:r>
      <w:r w:rsidR="00472455">
        <w:rPr>
          <w:rFonts w:ascii="Arial" w:eastAsia="Arial" w:hAnsi="Arial" w:cs="Arial"/>
          <w:color w:val="000000"/>
          <w:szCs w:val="22"/>
        </w:rPr>
        <w:t>omma</w:t>
      </w:r>
      <w:r>
        <w:rPr>
          <w:rFonts w:ascii="Arial" w:eastAsia="Arial" w:hAnsi="Arial" w:cs="Arial"/>
          <w:color w:val="000000"/>
          <w:szCs w:val="22"/>
        </w:rPr>
        <w:t xml:space="preserve"> 17 </w:t>
      </w:r>
      <w:r w:rsidR="00472455">
        <w:rPr>
          <w:rFonts w:ascii="Arial" w:eastAsia="Arial" w:hAnsi="Arial" w:cs="Arial"/>
          <w:color w:val="000000"/>
          <w:szCs w:val="22"/>
        </w:rPr>
        <w:t>della L</w:t>
      </w:r>
      <w:r>
        <w:rPr>
          <w:rFonts w:ascii="Arial" w:eastAsia="Arial" w:hAnsi="Arial" w:cs="Arial"/>
          <w:color w:val="000000"/>
          <w:szCs w:val="22"/>
        </w:rPr>
        <w:t>egge 350/2003, diverse da mutui e</w:t>
      </w:r>
      <w:r w:rsidR="005319D1">
        <w:rPr>
          <w:rFonts w:ascii="Arial" w:eastAsia="Arial" w:hAnsi="Arial" w:cs="Arial"/>
          <w:color w:val="000000"/>
          <w:szCs w:val="22"/>
        </w:rPr>
        <w:t xml:space="preserve"> prestiti obbligazionari</w:t>
      </w:r>
      <w:r>
        <w:rPr>
          <w:rFonts w:ascii="Arial" w:eastAsia="Arial" w:hAnsi="Arial" w:cs="Arial"/>
          <w:color w:val="000000"/>
          <w:szCs w:val="22"/>
        </w:rPr>
        <w:t>:</w:t>
      </w:r>
    </w:p>
    <w:p w14:paraId="63CDF6D3"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6F82DA16" w14:textId="2CACDEB8" w:rsidR="000F434D" w:rsidRPr="00E623BE" w:rsidRDefault="0033174C"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5" w:name="_heading=h.2afmg28" w:colFirst="0" w:colLast="0"/>
      <w:bookmarkEnd w:id="75"/>
      <w:r w:rsidRPr="00E623BE">
        <w:rPr>
          <w:rFonts w:ascii="Arial" w:eastAsia="Arial" w:hAnsi="Arial" w:cs="Arial"/>
          <w:b/>
          <w:bCs/>
          <w:color w:val="auto"/>
          <w:szCs w:val="22"/>
        </w:rPr>
        <w:t>TABELLA 18-</w:t>
      </w:r>
      <w:r w:rsidR="006A3916">
        <w:rPr>
          <w:rFonts w:ascii="Arial" w:eastAsia="Arial" w:hAnsi="Arial" w:cs="Arial"/>
          <w:b/>
          <w:bCs/>
          <w:color w:val="auto"/>
          <w:szCs w:val="22"/>
        </w:rPr>
        <w:t>d</w:t>
      </w:r>
    </w:p>
    <w:p w14:paraId="0E9906D7" w14:textId="1727E500" w:rsidR="0055406F" w:rsidRDefault="000F434D" w:rsidP="0055406F">
      <w:pPr>
        <w:pBdr>
          <w:top w:val="nil"/>
          <w:left w:val="nil"/>
          <w:bottom w:val="nil"/>
          <w:right w:val="nil"/>
          <w:between w:val="nil"/>
        </w:pBdr>
        <w:spacing w:before="280" w:after="280" w:line="240" w:lineRule="auto"/>
        <w:ind w:hanging="2"/>
        <w:rPr>
          <w:rFonts w:ascii="Arial" w:eastAsia="Arial" w:hAnsi="Arial" w:cs="Arial"/>
          <w:b/>
          <w:bCs/>
          <w:i/>
          <w:color w:val="00B0F0"/>
          <w:szCs w:val="22"/>
        </w:rPr>
      </w:pPr>
      <w:r>
        <w:rPr>
          <w:rFonts w:ascii="Arial" w:eastAsia="Arial" w:hAnsi="Arial" w:cs="Arial"/>
          <w:color w:val="000000"/>
          <w:szCs w:val="22"/>
        </w:rPr>
        <w:t xml:space="preserve">L’Organo di </w:t>
      </w:r>
      <w:r w:rsidR="00472455">
        <w:rPr>
          <w:rFonts w:ascii="Arial" w:eastAsia="Arial" w:hAnsi="Arial" w:cs="Arial"/>
          <w:color w:val="000000"/>
          <w:szCs w:val="22"/>
        </w:rPr>
        <w:t>r</w:t>
      </w:r>
      <w:r>
        <w:rPr>
          <w:rFonts w:ascii="Arial" w:eastAsia="Arial" w:hAnsi="Arial" w:cs="Arial"/>
          <w:color w:val="000000"/>
          <w:szCs w:val="22"/>
        </w:rPr>
        <w:t xml:space="preserve">evisione ha verificato che l’Ente </w:t>
      </w:r>
      <w:r>
        <w:rPr>
          <w:rFonts w:ascii="Arial" w:eastAsia="Arial" w:hAnsi="Arial" w:cs="Arial"/>
          <w:b/>
          <w:color w:val="000000"/>
          <w:szCs w:val="22"/>
        </w:rPr>
        <w:t>prevede/non prevede</w:t>
      </w:r>
      <w:r>
        <w:rPr>
          <w:rFonts w:ascii="Arial" w:eastAsia="Arial" w:hAnsi="Arial" w:cs="Arial"/>
          <w:color w:val="000000"/>
          <w:szCs w:val="22"/>
        </w:rPr>
        <w:t xml:space="preserve"> l’estinzione anticipata di prestiti.</w:t>
      </w:r>
      <w:r w:rsidR="00D569F0">
        <w:rPr>
          <w:rFonts w:ascii="Arial" w:eastAsia="Arial" w:hAnsi="Arial" w:cs="Arial"/>
          <w:color w:val="000000"/>
          <w:szCs w:val="22"/>
        </w:rPr>
        <w:t xml:space="preserve"> </w:t>
      </w:r>
      <w:r w:rsidR="00D569F0" w:rsidRPr="00583C01">
        <w:rPr>
          <w:rFonts w:ascii="Arial" w:eastAsia="Arial" w:hAnsi="Arial" w:cs="Arial"/>
          <w:i/>
          <w:iCs/>
          <w:color w:val="00B0F0"/>
          <w:szCs w:val="22"/>
        </w:rPr>
        <w:t xml:space="preserve">Nel caso di risposta </w:t>
      </w:r>
      <w:r w:rsidR="00D569F0">
        <w:rPr>
          <w:rFonts w:ascii="Arial" w:eastAsia="Arial" w:hAnsi="Arial" w:cs="Arial"/>
          <w:i/>
          <w:iCs/>
          <w:color w:val="00B0F0"/>
          <w:szCs w:val="22"/>
        </w:rPr>
        <w:t>afferma</w:t>
      </w:r>
      <w:r w:rsidR="00D569F0" w:rsidRPr="00583C01">
        <w:rPr>
          <w:rFonts w:ascii="Arial" w:eastAsia="Arial" w:hAnsi="Arial" w:cs="Arial"/>
          <w:i/>
          <w:iCs/>
          <w:color w:val="00B0F0"/>
          <w:szCs w:val="22"/>
        </w:rPr>
        <w:t>tiva</w:t>
      </w:r>
      <w:r w:rsidR="00D569F0">
        <w:rPr>
          <w:rFonts w:ascii="Arial" w:eastAsia="Arial" w:hAnsi="Arial" w:cs="Arial"/>
          <w:i/>
          <w:iCs/>
          <w:color w:val="00B0F0"/>
          <w:szCs w:val="22"/>
        </w:rPr>
        <w:t xml:space="preserve"> indicare</w:t>
      </w:r>
      <w:r w:rsidR="00D569F0" w:rsidRPr="00583C01">
        <w:rPr>
          <w:rFonts w:ascii="Arial" w:eastAsia="Arial" w:hAnsi="Arial" w:cs="Arial"/>
          <w:i/>
          <w:iCs/>
          <w:color w:val="00B0F0"/>
          <w:szCs w:val="22"/>
        </w:rPr>
        <w:t xml:space="preserve"> </w:t>
      </w:r>
      <w:r w:rsidR="00D569F0">
        <w:rPr>
          <w:rFonts w:ascii="Arial" w:eastAsia="Arial" w:hAnsi="Arial" w:cs="Arial"/>
          <w:i/>
          <w:iCs/>
          <w:color w:val="00B0F0"/>
          <w:szCs w:val="22"/>
        </w:rPr>
        <w:t>se l’Ente ha utilizzato per l’estinzione anticipata del prestito quote di avanzo destinato a investimenti e se è stata verificata la sussistenza delle condizioni previste dall’art.187, co.2, lett. e) del TUEL.</w:t>
      </w:r>
      <w:r w:rsidR="0055406F" w:rsidRPr="0055406F">
        <w:rPr>
          <w:rFonts w:ascii="Arial" w:eastAsia="Arial" w:hAnsi="Arial" w:cs="Arial"/>
          <w:b/>
          <w:bCs/>
          <w:i/>
          <w:color w:val="00B0F0"/>
          <w:szCs w:val="22"/>
        </w:rPr>
        <w:t xml:space="preserve"> </w:t>
      </w:r>
    </w:p>
    <w:p w14:paraId="67464552" w14:textId="2C81E774" w:rsidR="0055406F" w:rsidRDefault="0055406F" w:rsidP="0055406F">
      <w:pPr>
        <w:pBdr>
          <w:top w:val="nil"/>
          <w:left w:val="nil"/>
          <w:bottom w:val="nil"/>
          <w:right w:val="nil"/>
          <w:between w:val="nil"/>
        </w:pBdr>
        <w:spacing w:before="280" w:after="280" w:line="240" w:lineRule="auto"/>
        <w:ind w:hanging="2"/>
        <w:rPr>
          <w:rFonts w:ascii="Arial" w:eastAsia="Arial" w:hAnsi="Arial" w:cs="Arial"/>
          <w:b/>
          <w:bCs/>
          <w:i/>
          <w:color w:val="00B0F0"/>
          <w:szCs w:val="22"/>
        </w:rPr>
      </w:pPr>
      <w:r w:rsidRPr="003065E0">
        <w:rPr>
          <w:rFonts w:ascii="Arial" w:eastAsia="Arial" w:hAnsi="Arial" w:cs="Arial"/>
          <w:b/>
          <w:bCs/>
          <w:i/>
          <w:color w:val="00B0F0"/>
          <w:szCs w:val="22"/>
        </w:rPr>
        <w:t xml:space="preserve">N.B: Gli enti con </w:t>
      </w:r>
      <w:sdt>
        <w:sdtPr>
          <w:rPr>
            <w:rFonts w:ascii="Arial" w:eastAsia="Arial" w:hAnsi="Arial" w:cs="Arial"/>
            <w:b/>
            <w:bCs/>
            <w:i/>
            <w:color w:val="00B0F0"/>
            <w:szCs w:val="22"/>
          </w:rPr>
          <w:tag w:val="goog_rdk_0"/>
          <w:id w:val="1190109740"/>
        </w:sdtPr>
        <w:sdtContent>
          <w:r w:rsidRPr="003065E0">
            <w:rPr>
              <w:rFonts w:ascii="Arial" w:eastAsia="Arial" w:hAnsi="Arial" w:cs="Arial"/>
              <w:b/>
              <w:bCs/>
              <w:i/>
              <w:color w:val="00B0F0"/>
              <w:szCs w:val="22"/>
            </w:rPr>
            <w:t xml:space="preserve">popolazione ≥ 5.000 abitanti possono utilizzare quote di avanzo destinato a investimenti per l’estinzione anticipata dei prestiti (successivamente all’approvazione del </w:t>
          </w:r>
        </w:sdtContent>
      </w:sdt>
      <w:r w:rsidRPr="003065E0">
        <w:rPr>
          <w:rFonts w:ascii="Arial" w:eastAsia="Arial" w:hAnsi="Arial" w:cs="Arial"/>
          <w:b/>
          <w:bCs/>
          <w:i/>
          <w:color w:val="00B0F0"/>
          <w:szCs w:val="22"/>
        </w:rPr>
        <w:t>rendiconto, verificando la sussistenza delle condizioni previste dall’art. 187, co. 2, lett. e) del TUEL, somme accantonate per una quota pari al 100 per cento del FCDE; garanzia di un pari livello di investimenti aggiuntivi).</w:t>
      </w:r>
    </w:p>
    <w:p w14:paraId="7810FBDD" w14:textId="0DDE5214" w:rsidR="0055406F" w:rsidRPr="004B4CFE" w:rsidRDefault="0055406F" w:rsidP="0055406F">
      <w:pPr>
        <w:spacing w:line="240" w:lineRule="auto"/>
        <w:ind w:hanging="2"/>
        <w:rPr>
          <w:rFonts w:ascii="Arial" w:eastAsia="Arial" w:hAnsi="Arial" w:cs="Arial"/>
          <w:color w:val="auto"/>
          <w:szCs w:val="22"/>
        </w:rPr>
      </w:pPr>
    </w:p>
    <w:p w14:paraId="69E373D0" w14:textId="060F9581" w:rsidR="00427CC3" w:rsidRDefault="0055406F" w:rsidP="0055406F">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Pr>
          <w:rFonts w:ascii="Arial" w:eastAsia="Arial" w:hAnsi="Arial" w:cs="Arial"/>
          <w:i/>
          <w:iCs/>
          <w:color w:val="auto"/>
          <w:szCs w:val="22"/>
        </w:rPr>
        <w:t>L</w:t>
      </w:r>
      <w:r w:rsidRPr="00C667C0">
        <w:rPr>
          <w:rFonts w:ascii="Arial" w:eastAsia="Arial" w:hAnsi="Arial" w:cs="Arial"/>
          <w:i/>
          <w:iCs/>
          <w:color w:val="auto"/>
          <w:szCs w:val="22"/>
        </w:rPr>
        <w:t>’art.</w:t>
      </w:r>
      <w:r>
        <w:rPr>
          <w:rFonts w:ascii="Arial" w:eastAsia="Arial" w:hAnsi="Arial" w:cs="Arial"/>
          <w:i/>
          <w:iCs/>
          <w:color w:val="auto"/>
          <w:szCs w:val="22"/>
        </w:rPr>
        <w:t>1 comma 682 della Legge di bilancio 2026 interviene, relativamente ai prestiti obbligazionari, con modifiche su</w:t>
      </w:r>
      <w:r w:rsidRPr="0055406F">
        <w:rPr>
          <w:rFonts w:ascii="Arial" w:eastAsia="Arial" w:hAnsi="Arial" w:cs="Arial"/>
          <w:i/>
          <w:iCs/>
          <w:color w:val="auto"/>
          <w:szCs w:val="22"/>
        </w:rPr>
        <w:t>ll'articolo 35, comma 7, secondo periodo, della legge 23</w:t>
      </w:r>
      <w:r>
        <w:rPr>
          <w:rFonts w:ascii="Arial" w:eastAsia="Arial" w:hAnsi="Arial" w:cs="Arial"/>
          <w:i/>
          <w:iCs/>
          <w:color w:val="auto"/>
          <w:szCs w:val="22"/>
        </w:rPr>
        <w:t xml:space="preserve"> </w:t>
      </w:r>
      <w:r w:rsidRPr="0055406F">
        <w:rPr>
          <w:rFonts w:ascii="Arial" w:eastAsia="Arial" w:hAnsi="Arial" w:cs="Arial"/>
          <w:i/>
          <w:iCs/>
          <w:color w:val="auto"/>
          <w:szCs w:val="22"/>
        </w:rPr>
        <w:t xml:space="preserve">dicembre 1994, n. 724, </w:t>
      </w:r>
      <w:r>
        <w:rPr>
          <w:rFonts w:ascii="Arial" w:eastAsia="Arial" w:hAnsi="Arial" w:cs="Arial"/>
          <w:i/>
          <w:iCs/>
          <w:color w:val="auto"/>
          <w:szCs w:val="22"/>
        </w:rPr>
        <w:t xml:space="preserve">sopprimendo </w:t>
      </w:r>
      <w:r w:rsidRPr="0055406F">
        <w:rPr>
          <w:rFonts w:ascii="Arial" w:eastAsia="Arial" w:hAnsi="Arial" w:cs="Arial"/>
          <w:i/>
          <w:iCs/>
          <w:color w:val="auto"/>
          <w:szCs w:val="22"/>
        </w:rPr>
        <w:t xml:space="preserve">la parola: «esclusivamente» </w:t>
      </w:r>
      <w:r>
        <w:rPr>
          <w:rFonts w:ascii="Arial" w:eastAsia="Arial" w:hAnsi="Arial" w:cs="Arial"/>
          <w:i/>
          <w:iCs/>
          <w:color w:val="auto"/>
          <w:szCs w:val="22"/>
        </w:rPr>
        <w:t>e aggiungendo</w:t>
      </w:r>
      <w:r w:rsidRPr="0055406F">
        <w:rPr>
          <w:rFonts w:ascii="Arial" w:eastAsia="Arial" w:hAnsi="Arial" w:cs="Arial"/>
          <w:i/>
          <w:iCs/>
          <w:color w:val="auto"/>
          <w:szCs w:val="22"/>
        </w:rPr>
        <w:t>, in fine, le seguenti parole: «, nonché' secondo le</w:t>
      </w:r>
      <w:r>
        <w:rPr>
          <w:rFonts w:ascii="Arial" w:eastAsia="Arial" w:hAnsi="Arial" w:cs="Arial"/>
          <w:i/>
          <w:iCs/>
          <w:color w:val="auto"/>
          <w:szCs w:val="22"/>
        </w:rPr>
        <w:t xml:space="preserve"> </w:t>
      </w:r>
      <w:r w:rsidRPr="0055406F">
        <w:rPr>
          <w:rFonts w:ascii="Arial" w:eastAsia="Arial" w:hAnsi="Arial" w:cs="Arial"/>
          <w:i/>
          <w:iCs/>
          <w:color w:val="auto"/>
          <w:szCs w:val="22"/>
        </w:rPr>
        <w:t>disposizioni di cui all'articolo 187, comma 2, lettera e), del testo</w:t>
      </w:r>
      <w:r>
        <w:rPr>
          <w:rFonts w:ascii="Arial" w:eastAsia="Arial" w:hAnsi="Arial" w:cs="Arial"/>
          <w:i/>
          <w:iCs/>
          <w:color w:val="auto"/>
          <w:szCs w:val="22"/>
        </w:rPr>
        <w:t xml:space="preserve"> </w:t>
      </w:r>
      <w:r w:rsidRPr="0055406F">
        <w:rPr>
          <w:rFonts w:ascii="Arial" w:eastAsia="Arial" w:hAnsi="Arial" w:cs="Arial"/>
          <w:i/>
          <w:iCs/>
          <w:color w:val="auto"/>
          <w:szCs w:val="22"/>
        </w:rPr>
        <w:t>unico di cui al decreto legislativo 18 agosto 2000 n. 267</w:t>
      </w:r>
      <w:r w:rsidRPr="00C667C0">
        <w:rPr>
          <w:rFonts w:ascii="Arial" w:eastAsia="Arial" w:hAnsi="Arial" w:cs="Arial"/>
          <w:i/>
          <w:iCs/>
          <w:color w:val="auto"/>
          <w:szCs w:val="22"/>
        </w:rPr>
        <w:t>»</w:t>
      </w:r>
      <w:r>
        <w:rPr>
          <w:rFonts w:ascii="Arial" w:eastAsia="Arial" w:hAnsi="Arial" w:cs="Arial"/>
          <w:i/>
          <w:iCs/>
          <w:color w:val="auto"/>
          <w:szCs w:val="22"/>
        </w:rPr>
        <w:t>.</w:t>
      </w:r>
      <w:r w:rsidRPr="0055406F">
        <w:t xml:space="preserve"> </w:t>
      </w:r>
      <w:r>
        <w:rPr>
          <w:rFonts w:ascii="Arial" w:eastAsia="Arial" w:hAnsi="Arial" w:cs="Arial"/>
          <w:i/>
          <w:iCs/>
          <w:color w:val="auto"/>
          <w:szCs w:val="22"/>
        </w:rPr>
        <w:t xml:space="preserve">Pertanto, la norma </w:t>
      </w:r>
      <w:r w:rsidRPr="0055406F">
        <w:rPr>
          <w:rFonts w:ascii="Arial" w:eastAsia="Arial" w:hAnsi="Arial" w:cs="Arial"/>
          <w:i/>
          <w:iCs/>
          <w:color w:val="auto"/>
          <w:szCs w:val="22"/>
        </w:rPr>
        <w:t>stabilisce che l’estinzione anticipata dei prestiti</w:t>
      </w:r>
      <w:r>
        <w:rPr>
          <w:rFonts w:ascii="Arial" w:eastAsia="Arial" w:hAnsi="Arial" w:cs="Arial"/>
          <w:i/>
          <w:iCs/>
          <w:color w:val="auto"/>
          <w:szCs w:val="22"/>
        </w:rPr>
        <w:t xml:space="preserve"> </w:t>
      </w:r>
      <w:r w:rsidRPr="0055406F">
        <w:rPr>
          <w:rFonts w:ascii="Arial" w:eastAsia="Arial" w:hAnsi="Arial" w:cs="Arial"/>
          <w:i/>
          <w:iCs/>
          <w:color w:val="auto"/>
          <w:szCs w:val="22"/>
        </w:rPr>
        <w:t>obbligazionari non deve avvenire esclusivamente mediante risorse derivanti dalla</w:t>
      </w:r>
      <w:r>
        <w:rPr>
          <w:rFonts w:ascii="Arial" w:eastAsia="Arial" w:hAnsi="Arial" w:cs="Arial"/>
          <w:i/>
          <w:iCs/>
          <w:color w:val="auto"/>
          <w:szCs w:val="22"/>
        </w:rPr>
        <w:t xml:space="preserve"> </w:t>
      </w:r>
      <w:r w:rsidRPr="0055406F">
        <w:rPr>
          <w:rFonts w:ascii="Arial" w:eastAsia="Arial" w:hAnsi="Arial" w:cs="Arial"/>
          <w:i/>
          <w:iCs/>
          <w:color w:val="auto"/>
          <w:szCs w:val="22"/>
        </w:rPr>
        <w:t>dismissione di cespiti patrimoniali disponibili</w:t>
      </w:r>
      <w:r>
        <w:rPr>
          <w:rFonts w:ascii="Arial" w:eastAsia="Arial" w:hAnsi="Arial" w:cs="Arial"/>
          <w:i/>
          <w:iCs/>
          <w:color w:val="auto"/>
          <w:szCs w:val="22"/>
        </w:rPr>
        <w:t xml:space="preserve">. </w:t>
      </w:r>
      <w:r w:rsidRPr="0055406F">
        <w:rPr>
          <w:rFonts w:ascii="Arial" w:eastAsia="Arial" w:hAnsi="Arial" w:cs="Arial"/>
          <w:i/>
          <w:iCs/>
          <w:color w:val="auto"/>
          <w:szCs w:val="22"/>
        </w:rPr>
        <w:t>La disciplina viene fatta rientrare in quella</w:t>
      </w:r>
      <w:r>
        <w:rPr>
          <w:rFonts w:ascii="Arial" w:eastAsia="Arial" w:hAnsi="Arial" w:cs="Arial"/>
          <w:i/>
          <w:iCs/>
          <w:color w:val="auto"/>
          <w:szCs w:val="22"/>
        </w:rPr>
        <w:t xml:space="preserve"> g</w:t>
      </w:r>
      <w:r w:rsidRPr="0055406F">
        <w:rPr>
          <w:rFonts w:ascii="Arial" w:eastAsia="Arial" w:hAnsi="Arial" w:cs="Arial"/>
          <w:i/>
          <w:iCs/>
          <w:color w:val="auto"/>
          <w:szCs w:val="22"/>
        </w:rPr>
        <w:t>enerale relativa ai prestiti, prevedendo quindi la possibilità di procedere all’estinzione</w:t>
      </w:r>
      <w:r>
        <w:rPr>
          <w:rFonts w:ascii="Arial" w:eastAsia="Arial" w:hAnsi="Arial" w:cs="Arial"/>
          <w:i/>
          <w:iCs/>
          <w:color w:val="auto"/>
          <w:szCs w:val="22"/>
        </w:rPr>
        <w:t xml:space="preserve"> </w:t>
      </w:r>
      <w:r w:rsidRPr="0055406F">
        <w:rPr>
          <w:rFonts w:ascii="Arial" w:eastAsia="Arial" w:hAnsi="Arial" w:cs="Arial"/>
          <w:i/>
          <w:iCs/>
          <w:color w:val="auto"/>
          <w:szCs w:val="22"/>
        </w:rPr>
        <w:t xml:space="preserve">anticipata utilizzando anche la quota libera dell’avanzo di amministrazione. </w:t>
      </w:r>
    </w:p>
    <w:p w14:paraId="650DBDA7" w14:textId="429A0448" w:rsidR="00595F99" w:rsidRDefault="00E73D72" w:rsidP="00E73D72">
      <w:pPr>
        <w:pBdr>
          <w:top w:val="nil"/>
          <w:left w:val="nil"/>
          <w:bottom w:val="nil"/>
          <w:right w:val="nil"/>
          <w:between w:val="nil"/>
        </w:pBdr>
        <w:spacing w:before="280" w:after="280" w:line="240" w:lineRule="auto"/>
        <w:rPr>
          <w:rFonts w:ascii="Arial" w:eastAsia="Arial" w:hAnsi="Arial" w:cs="Arial"/>
          <w:color w:val="000000"/>
          <w:szCs w:val="22"/>
        </w:rPr>
      </w:pPr>
      <w:r w:rsidRPr="00E73D72">
        <w:rPr>
          <w:rFonts w:ascii="Arial" w:eastAsia="Arial" w:hAnsi="Arial" w:cs="Arial"/>
          <w:color w:val="000000"/>
          <w:szCs w:val="22"/>
        </w:rPr>
        <w:lastRenderedPageBreak/>
        <w:t xml:space="preserve">L’Organo di revisione ha verificato che l’Ente </w:t>
      </w:r>
      <w:r w:rsidRPr="00E73D72">
        <w:rPr>
          <w:rFonts w:ascii="Arial" w:eastAsia="Arial" w:hAnsi="Arial" w:cs="Arial"/>
          <w:b/>
          <w:bCs/>
          <w:color w:val="000000"/>
          <w:szCs w:val="22"/>
        </w:rPr>
        <w:t>ha previsto/non ha previsto</w:t>
      </w:r>
      <w:r w:rsidRPr="00E73D72">
        <w:rPr>
          <w:rFonts w:ascii="Arial" w:eastAsia="Arial" w:hAnsi="Arial" w:cs="Arial"/>
          <w:color w:val="000000"/>
          <w:szCs w:val="22"/>
        </w:rPr>
        <w:t xml:space="preserve"> in bilancio il ricorso all’indebitamento per il finanziamento di “debiti fuori bilancio”.</w:t>
      </w:r>
      <w:r>
        <w:rPr>
          <w:rFonts w:ascii="Arial" w:eastAsia="Arial" w:hAnsi="Arial" w:cs="Arial"/>
          <w:color w:val="000000"/>
          <w:szCs w:val="22"/>
        </w:rPr>
        <w:t xml:space="preserve"> </w:t>
      </w:r>
      <w:r w:rsidR="00D569F0" w:rsidRPr="00583C01">
        <w:rPr>
          <w:rFonts w:ascii="Arial" w:eastAsia="Arial" w:hAnsi="Arial" w:cs="Arial"/>
          <w:i/>
          <w:iCs/>
          <w:color w:val="00B0F0"/>
          <w:szCs w:val="22"/>
        </w:rPr>
        <w:t xml:space="preserve">Nel caso di risposta </w:t>
      </w:r>
      <w:r w:rsidR="00D569F0">
        <w:rPr>
          <w:rFonts w:ascii="Arial" w:eastAsia="Arial" w:hAnsi="Arial" w:cs="Arial"/>
          <w:i/>
          <w:iCs/>
          <w:color w:val="00B0F0"/>
          <w:szCs w:val="22"/>
        </w:rPr>
        <w:t>afferma</w:t>
      </w:r>
      <w:r w:rsidR="00D569F0" w:rsidRPr="00583C01">
        <w:rPr>
          <w:rFonts w:ascii="Arial" w:eastAsia="Arial" w:hAnsi="Arial" w:cs="Arial"/>
          <w:i/>
          <w:iCs/>
          <w:color w:val="00B0F0"/>
          <w:szCs w:val="22"/>
        </w:rPr>
        <w:t>tiva</w:t>
      </w:r>
      <w:r w:rsidR="00D569F0">
        <w:rPr>
          <w:rFonts w:ascii="Arial" w:eastAsia="Arial" w:hAnsi="Arial" w:cs="Arial"/>
          <w:i/>
          <w:iCs/>
          <w:color w:val="00B0F0"/>
          <w:szCs w:val="22"/>
        </w:rPr>
        <w:t xml:space="preserve"> indicare</w:t>
      </w:r>
      <w:r w:rsidR="00D569F0" w:rsidRPr="00583C01">
        <w:rPr>
          <w:rFonts w:ascii="Arial" w:eastAsia="Arial" w:hAnsi="Arial" w:cs="Arial"/>
          <w:i/>
          <w:iCs/>
          <w:color w:val="00B0F0"/>
          <w:szCs w:val="22"/>
        </w:rPr>
        <w:t xml:space="preserve"> </w:t>
      </w:r>
      <w:r w:rsidR="00D569F0">
        <w:rPr>
          <w:rFonts w:ascii="Arial" w:eastAsia="Arial" w:hAnsi="Arial" w:cs="Arial"/>
          <w:i/>
          <w:iCs/>
          <w:color w:val="00B0F0"/>
          <w:szCs w:val="22"/>
        </w:rPr>
        <w:t>se la spesa relativa ha natura di spesa di investimento.</w:t>
      </w:r>
    </w:p>
    <w:p w14:paraId="299A3EC3" w14:textId="5E32C3AB" w:rsidR="00E73D72" w:rsidRPr="009234C2" w:rsidRDefault="00E73D72" w:rsidP="00E73D72">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w:t>
      </w:r>
      <w:r>
        <w:rPr>
          <w:rFonts w:ascii="Arial" w:eastAsia="Arial" w:hAnsi="Arial" w:cs="Arial"/>
          <w:i/>
          <w:iCs/>
          <w:color w:val="00B0F0"/>
          <w:szCs w:val="22"/>
        </w:rPr>
        <w:t xml:space="preserve"> indicare</w:t>
      </w:r>
      <w:r w:rsidRPr="00583C01">
        <w:rPr>
          <w:rFonts w:ascii="Arial" w:eastAsia="Arial" w:hAnsi="Arial" w:cs="Arial"/>
          <w:i/>
          <w:iCs/>
          <w:color w:val="00B0F0"/>
          <w:szCs w:val="22"/>
        </w:rPr>
        <w:t xml:space="preserve"> </w:t>
      </w:r>
      <w:r>
        <w:rPr>
          <w:rFonts w:ascii="Arial" w:eastAsia="Arial" w:hAnsi="Arial" w:cs="Arial"/>
          <w:i/>
          <w:iCs/>
          <w:color w:val="00B0F0"/>
          <w:szCs w:val="22"/>
        </w:rPr>
        <w:t>se l’Ente aveva a disposizione altre risorse alternative all’indebitamento per prevedere la copertura finanziaria del debito fuori bilancio e fornire chiarimenti.</w:t>
      </w:r>
    </w:p>
    <w:p w14:paraId="61A5E743" w14:textId="77777777" w:rsidR="00E73D72" w:rsidRDefault="00E73D72"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0B7CA58A" w14:textId="1E453F9B"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ha/non ha</w:t>
      </w:r>
      <w:r>
        <w:rPr>
          <w:rFonts w:ascii="Arial" w:eastAsia="Arial" w:hAnsi="Arial" w:cs="Arial"/>
          <w:color w:val="000000"/>
          <w:szCs w:val="22"/>
        </w:rPr>
        <w:t xml:space="preserve"> prestato garanzie principali e sussidiarie per le quali è stato costituito regolare accantonamento come da prospetto seguente:</w:t>
      </w:r>
    </w:p>
    <w:p w14:paraId="2EF26AD8" w14:textId="77777777" w:rsidR="009234C2" w:rsidRDefault="009234C2" w:rsidP="009234C2">
      <w:pPr>
        <w:widowControl w:val="0"/>
        <w:pBdr>
          <w:top w:val="nil"/>
          <w:left w:val="nil"/>
          <w:bottom w:val="nil"/>
          <w:right w:val="nil"/>
          <w:between w:val="nil"/>
        </w:pBdr>
        <w:spacing w:line="240" w:lineRule="auto"/>
        <w:ind w:hanging="2"/>
        <w:rPr>
          <w:rFonts w:ascii="Arial" w:eastAsia="Arial" w:hAnsi="Arial" w:cs="Arial"/>
          <w:color w:val="000000"/>
          <w:szCs w:val="22"/>
        </w:rPr>
      </w:pPr>
    </w:p>
    <w:p w14:paraId="24F9B271" w14:textId="4ACCDFCB" w:rsidR="009234C2" w:rsidRPr="00E623BE" w:rsidRDefault="009234C2" w:rsidP="009234C2">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e</w:t>
      </w:r>
    </w:p>
    <w:p w14:paraId="567C10B3" w14:textId="3A41EC25" w:rsidR="000F434D" w:rsidRDefault="00583C01" w:rsidP="000F434D">
      <w:pPr>
        <w:widowControl w:val="0"/>
        <w:pBdr>
          <w:top w:val="nil"/>
          <w:left w:val="nil"/>
          <w:bottom w:val="nil"/>
          <w:right w:val="nil"/>
          <w:between w:val="nil"/>
        </w:pBdr>
        <w:spacing w:line="240" w:lineRule="auto"/>
        <w:ind w:hanging="2"/>
        <w:rPr>
          <w:rFonts w:ascii="Arial" w:eastAsia="Arial" w:hAnsi="Arial" w:cs="Arial"/>
          <w:color w:val="000000"/>
          <w:szCs w:val="22"/>
        </w:rPr>
      </w:pPr>
      <w:bookmarkStart w:id="76" w:name="_heading=h.pkwqa1" w:colFirst="0" w:colLast="0"/>
      <w:bookmarkEnd w:id="76"/>
      <w:r>
        <w:rPr>
          <w:rFonts w:ascii="Arial" w:eastAsia="Arial" w:hAnsi="Arial" w:cs="Arial"/>
          <w:color w:val="000000"/>
          <w:szCs w:val="22"/>
        </w:rPr>
        <w:t>L’Organo di revisione ha verificato che l</w:t>
      </w:r>
      <w:r w:rsidRPr="00583C01">
        <w:rPr>
          <w:rFonts w:ascii="Arial" w:eastAsia="Arial" w:hAnsi="Arial" w:cs="Arial"/>
          <w:color w:val="000000"/>
          <w:szCs w:val="22"/>
        </w:rPr>
        <w:t xml:space="preserve">’eventuale avanzo di amministrazione per la quota vincolata proveniente da indebitamento </w:t>
      </w:r>
      <w:r w:rsidRPr="0016197D">
        <w:rPr>
          <w:rFonts w:ascii="Arial" w:eastAsia="Arial" w:hAnsi="Arial" w:cs="Arial"/>
          <w:b/>
          <w:bCs/>
          <w:color w:val="000000"/>
          <w:szCs w:val="22"/>
        </w:rPr>
        <w:t>è stato interamente applicato</w:t>
      </w:r>
      <w:r w:rsidR="0016197D">
        <w:rPr>
          <w:rFonts w:ascii="Arial" w:eastAsia="Arial" w:hAnsi="Arial" w:cs="Arial"/>
          <w:b/>
          <w:bCs/>
          <w:color w:val="000000"/>
          <w:szCs w:val="22"/>
        </w:rPr>
        <w:t>/non è stato applicato</w:t>
      </w:r>
      <w:r w:rsidRPr="00583C01">
        <w:rPr>
          <w:rFonts w:ascii="Arial" w:eastAsia="Arial" w:hAnsi="Arial" w:cs="Arial"/>
          <w:color w:val="000000"/>
          <w:szCs w:val="22"/>
        </w:rPr>
        <w:t xml:space="preserve"> al bilancio per la copertura di spesa di investimento</w:t>
      </w:r>
      <w:r>
        <w:rPr>
          <w:rFonts w:ascii="Arial" w:eastAsia="Arial" w:hAnsi="Arial" w:cs="Arial"/>
          <w:color w:val="000000"/>
          <w:szCs w:val="22"/>
        </w:rPr>
        <w:t>.</w:t>
      </w:r>
    </w:p>
    <w:p w14:paraId="7575E829" w14:textId="2044451E" w:rsidR="009B4E89" w:rsidRPr="009234C2" w:rsidRDefault="00583C01" w:rsidP="00583C01">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 esporre le motivazioni e le intenzioni dell’</w:t>
      </w:r>
      <w:r w:rsidR="0016197D">
        <w:rPr>
          <w:rFonts w:ascii="Arial" w:eastAsia="Arial" w:hAnsi="Arial" w:cs="Arial"/>
          <w:i/>
          <w:iCs/>
          <w:color w:val="00B0F0"/>
          <w:szCs w:val="22"/>
        </w:rPr>
        <w:t>E</w:t>
      </w:r>
      <w:r w:rsidRPr="00583C01">
        <w:rPr>
          <w:rFonts w:ascii="Arial" w:eastAsia="Arial" w:hAnsi="Arial" w:cs="Arial"/>
          <w:i/>
          <w:iCs/>
          <w:color w:val="00B0F0"/>
          <w:szCs w:val="22"/>
        </w:rPr>
        <w:t xml:space="preserve">nte: </w:t>
      </w:r>
      <w:r w:rsidRPr="009234C2">
        <w:rPr>
          <w:rFonts w:ascii="Arial" w:eastAsia="Arial" w:hAnsi="Arial" w:cs="Arial"/>
          <w:i/>
          <w:iCs/>
          <w:color w:val="00B0F0"/>
          <w:szCs w:val="22"/>
        </w:rPr>
        <w:t>….</w:t>
      </w:r>
    </w:p>
    <w:p w14:paraId="439B90F1" w14:textId="2856E525"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7" w:name="_Toc219808185"/>
      <w:r>
        <w:t>10</w:t>
      </w:r>
      <w:r w:rsidRPr="00867831">
        <w:t xml:space="preserve">. </w:t>
      </w:r>
      <w:r>
        <w:t>ORGANISMI PARTECIPATI</w:t>
      </w:r>
      <w:bookmarkEnd w:id="77"/>
    </w:p>
    <w:p w14:paraId="42143A47" w14:textId="6570E536" w:rsidR="000F434D" w:rsidRPr="00E14EF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5B9BD5" w:themeColor="accent5"/>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evisione ha verificato che tutti gli organismi partecipati hanno approvato i bilanci d’esercizio al 31/12/202</w:t>
      </w:r>
      <w:r w:rsidR="00DB2D30">
        <w:rPr>
          <w:rFonts w:ascii="Arial" w:eastAsia="Arial" w:hAnsi="Arial" w:cs="Arial"/>
          <w:color w:val="000000"/>
          <w:szCs w:val="22"/>
        </w:rPr>
        <w:t>4</w:t>
      </w:r>
      <w:r w:rsidR="002563F5">
        <w:rPr>
          <w:rFonts w:ascii="Arial" w:eastAsia="Arial" w:hAnsi="Arial" w:cs="Arial"/>
          <w:color w:val="000000"/>
          <w:szCs w:val="22"/>
        </w:rPr>
        <w:t>.</w:t>
      </w:r>
      <w:r w:rsidR="00B37E3E">
        <w:rPr>
          <w:rFonts w:ascii="Arial" w:eastAsia="Arial" w:hAnsi="Arial" w:cs="Arial"/>
          <w:color w:val="000000"/>
          <w:szCs w:val="22"/>
        </w:rPr>
        <w:t xml:space="preserve"> </w:t>
      </w:r>
      <w:r w:rsidRPr="0070745C">
        <w:rPr>
          <w:rFonts w:ascii="Arial" w:eastAsia="Arial" w:hAnsi="Arial" w:cs="Arial"/>
          <w:color w:val="00B0F0"/>
          <w:szCs w:val="22"/>
        </w:rPr>
        <w:t>[</w:t>
      </w:r>
      <w:r w:rsidRPr="0070745C">
        <w:rPr>
          <w:rFonts w:ascii="Arial" w:eastAsia="Arial" w:hAnsi="Arial" w:cs="Arial"/>
          <w:i/>
          <w:color w:val="00B0F0"/>
          <w:szCs w:val="22"/>
        </w:rPr>
        <w:t>indicare l’eventuale</w:t>
      </w:r>
      <w:r w:rsidRPr="0070745C">
        <w:rPr>
          <w:rFonts w:ascii="Arial" w:eastAsia="Arial" w:hAnsi="Arial" w:cs="Arial"/>
          <w:b/>
          <w:i/>
          <w:color w:val="00B0F0"/>
          <w:szCs w:val="22"/>
        </w:rPr>
        <w:t xml:space="preserve"> </w:t>
      </w:r>
      <w:r w:rsidRPr="0070745C">
        <w:rPr>
          <w:rFonts w:ascii="Arial" w:eastAsia="Arial" w:hAnsi="Arial" w:cs="Arial"/>
          <w:i/>
          <w:color w:val="00B0F0"/>
          <w:szCs w:val="22"/>
        </w:rPr>
        <w:t>diverso termine</w:t>
      </w:r>
      <w:r w:rsidRPr="0070745C">
        <w:rPr>
          <w:rFonts w:ascii="Arial" w:eastAsia="Arial" w:hAnsi="Arial" w:cs="Arial"/>
          <w:color w:val="00B0F0"/>
          <w:szCs w:val="22"/>
        </w:rPr>
        <w:t>].</w:t>
      </w:r>
    </w:p>
    <w:p w14:paraId="1D0C8FA2" w14:textId="77777777" w:rsidR="000F434D" w:rsidRPr="00A118A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sidRPr="00A118AB">
        <w:rPr>
          <w:rFonts w:ascii="Arial" w:eastAsia="Arial" w:hAnsi="Arial" w:cs="Arial"/>
          <w:i/>
          <w:color w:val="00B0F0"/>
          <w:szCs w:val="22"/>
        </w:rPr>
        <w:t>(in caso di risposta negativa fornire spiegazioni)</w:t>
      </w:r>
    </w:p>
    <w:p w14:paraId="05EF0B8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34CE93F3" w14:textId="0F5B3A4E" w:rsidR="00027A85" w:rsidRPr="00BE32C7" w:rsidRDefault="000F434D" w:rsidP="0049172B">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w:t>
      </w:r>
      <w:r w:rsidR="00472455">
        <w:rPr>
          <w:rFonts w:ascii="Arial" w:eastAsia="Arial" w:hAnsi="Arial" w:cs="Arial"/>
          <w:color w:val="auto"/>
          <w:szCs w:val="22"/>
        </w:rPr>
        <w:t>r</w:t>
      </w:r>
      <w:r w:rsidRPr="00BE32C7">
        <w:rPr>
          <w:rFonts w:ascii="Arial" w:eastAsia="Arial" w:hAnsi="Arial" w:cs="Arial"/>
          <w:color w:val="auto"/>
          <w:szCs w:val="22"/>
        </w:rPr>
        <w:t>evisione prende atto che l’Ente ha le seguenti società/organismi partecipati in perdita:</w:t>
      </w:r>
    </w:p>
    <w:p w14:paraId="322899C4" w14:textId="44801E2E" w:rsidR="000F434D" w:rsidRPr="00BE32C7" w:rsidRDefault="004E1ADF" w:rsidP="004E1ADF">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8" w:name="_heading=h.48pi1tg" w:colFirst="0" w:colLast="0"/>
      <w:bookmarkEnd w:id="78"/>
      <w:r w:rsidRPr="00BE32C7">
        <w:rPr>
          <w:rFonts w:ascii="Arial" w:eastAsia="Arial" w:hAnsi="Arial" w:cs="Arial"/>
          <w:b/>
          <w:bCs/>
          <w:color w:val="auto"/>
          <w:szCs w:val="22"/>
        </w:rPr>
        <w:t>TABELLA 19</w:t>
      </w:r>
      <w:r w:rsidR="006A3916" w:rsidRPr="00BE32C7">
        <w:rPr>
          <w:rFonts w:ascii="Arial" w:eastAsia="Arial" w:hAnsi="Arial" w:cs="Arial"/>
          <w:b/>
          <w:bCs/>
          <w:color w:val="auto"/>
          <w:szCs w:val="22"/>
        </w:rPr>
        <w:t>-a</w:t>
      </w:r>
    </w:p>
    <w:p w14:paraId="4F890443" w14:textId="77777777" w:rsidR="009234C2" w:rsidRPr="00BE32C7" w:rsidRDefault="009234C2" w:rsidP="000F434D">
      <w:pPr>
        <w:widowControl w:val="0"/>
        <w:spacing w:before="120" w:after="120"/>
        <w:ind w:hanging="2"/>
        <w:rPr>
          <w:rFonts w:ascii="Arial" w:eastAsia="Arial" w:hAnsi="Arial" w:cs="Arial"/>
          <w:b/>
          <w:i/>
          <w:color w:val="auto"/>
          <w:szCs w:val="22"/>
        </w:rPr>
      </w:pPr>
      <w:r w:rsidRPr="00BE32C7">
        <w:rPr>
          <w:rFonts w:ascii="Arial" w:eastAsia="Arial" w:hAnsi="Arial" w:cs="Arial"/>
          <w:bCs/>
          <w:iCs/>
          <w:color w:val="auto"/>
          <w:szCs w:val="22"/>
        </w:rPr>
        <w:t>(</w:t>
      </w:r>
      <w:r w:rsidRPr="00BE32C7">
        <w:rPr>
          <w:rFonts w:ascii="Arial" w:eastAsia="Arial" w:hAnsi="Arial" w:cs="Arial"/>
          <w:bCs/>
          <w:i/>
          <w:color w:val="auto"/>
          <w:szCs w:val="22"/>
        </w:rPr>
        <w:t>Oppure</w:t>
      </w:r>
      <w:r w:rsidRPr="00BE32C7">
        <w:rPr>
          <w:rFonts w:ascii="Arial" w:eastAsia="Arial" w:hAnsi="Arial" w:cs="Arial"/>
          <w:bCs/>
          <w:iCs/>
          <w:color w:val="auto"/>
          <w:szCs w:val="22"/>
        </w:rPr>
        <w:t>)</w:t>
      </w:r>
      <w:r w:rsidR="000F434D" w:rsidRPr="00BE32C7">
        <w:rPr>
          <w:rFonts w:ascii="Arial" w:eastAsia="Arial" w:hAnsi="Arial" w:cs="Arial"/>
          <w:b/>
          <w:i/>
          <w:color w:val="auto"/>
          <w:szCs w:val="22"/>
        </w:rPr>
        <w:t xml:space="preserve"> </w:t>
      </w:r>
    </w:p>
    <w:p w14:paraId="5A9FBFF4" w14:textId="1FB3E256" w:rsidR="000F434D" w:rsidRPr="00BE32C7" w:rsidRDefault="000F434D" w:rsidP="000F434D">
      <w:pPr>
        <w:widowControl w:val="0"/>
        <w:spacing w:before="120" w:after="120"/>
        <w:ind w:hanging="2"/>
        <w:rPr>
          <w:rFonts w:ascii="Arial" w:eastAsia="Arial" w:hAnsi="Arial" w:cs="Arial"/>
          <w:color w:val="auto"/>
          <w:szCs w:val="22"/>
        </w:rPr>
      </w:pPr>
      <w:r w:rsidRPr="00BE32C7">
        <w:rPr>
          <w:rFonts w:ascii="Arial" w:eastAsia="Arial" w:hAnsi="Arial" w:cs="Arial"/>
          <w:color w:val="auto"/>
          <w:szCs w:val="22"/>
        </w:rPr>
        <w:t xml:space="preserve">L’Organo di </w:t>
      </w:r>
      <w:r w:rsidR="00594798">
        <w:rPr>
          <w:rFonts w:ascii="Arial" w:eastAsia="Arial" w:hAnsi="Arial" w:cs="Arial"/>
          <w:color w:val="auto"/>
          <w:szCs w:val="22"/>
        </w:rPr>
        <w:t>r</w:t>
      </w:r>
      <w:r w:rsidRPr="00BE32C7">
        <w:rPr>
          <w:rFonts w:ascii="Arial" w:eastAsia="Arial" w:hAnsi="Arial" w:cs="Arial"/>
          <w:color w:val="auto"/>
          <w:szCs w:val="22"/>
        </w:rPr>
        <w:t>evisione prende atto che l’Ente non ha società/organismi partecipati in perdita.</w:t>
      </w:r>
    </w:p>
    <w:p w14:paraId="3D93E5FB" w14:textId="452747C4" w:rsidR="000F434D" w:rsidRPr="00BE32C7"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i/>
          <w:color w:val="auto"/>
          <w:szCs w:val="22"/>
        </w:rPr>
      </w:pPr>
      <w:r w:rsidRPr="00BE32C7">
        <w:rPr>
          <w:rFonts w:ascii="Arial" w:eastAsia="Arial" w:hAnsi="Arial" w:cs="Arial"/>
          <w:color w:val="auto"/>
          <w:szCs w:val="22"/>
        </w:rPr>
        <w:t>La Relazione sul governo societario predisposta dalle società a controllo pubblico controllate dall’Ente contiene il programma di valutazione del rischio aziendale, ai sensi dell’art. 6 del D.lgs. 175/2016</w:t>
      </w:r>
      <w:r w:rsidR="009C074F" w:rsidRPr="00BE32C7">
        <w:rPr>
          <w:rFonts w:ascii="Arial" w:eastAsia="Arial" w:hAnsi="Arial" w:cs="Arial"/>
          <w:color w:val="auto"/>
          <w:szCs w:val="22"/>
        </w:rPr>
        <w:t xml:space="preserve"> tenuto conto delle novità introdotte dal “Codice della Crisi” </w:t>
      </w:r>
      <w:r w:rsidR="00EF4909" w:rsidRPr="00BE32C7">
        <w:rPr>
          <w:rFonts w:ascii="Arial" w:eastAsia="Arial" w:hAnsi="Arial" w:cs="Arial"/>
          <w:color w:val="auto"/>
          <w:szCs w:val="22"/>
        </w:rPr>
        <w:t>- D</w:t>
      </w:r>
      <w:r w:rsidR="009C074F" w:rsidRPr="00BE32C7">
        <w:rPr>
          <w:rFonts w:ascii="Arial" w:eastAsia="Arial" w:hAnsi="Arial" w:cs="Arial"/>
          <w:color w:val="auto"/>
          <w:szCs w:val="22"/>
        </w:rPr>
        <w:t>.lgs. 12 gennaio 2019</w:t>
      </w:r>
      <w:r w:rsidRPr="00BE32C7">
        <w:rPr>
          <w:rFonts w:ascii="Arial" w:eastAsia="Arial" w:hAnsi="Arial" w:cs="Arial"/>
          <w:b/>
          <w:i/>
          <w:color w:val="auto"/>
          <w:szCs w:val="22"/>
        </w:rPr>
        <w:t>)</w:t>
      </w:r>
      <w:r w:rsidR="00EF4909" w:rsidRPr="00BE32C7">
        <w:rPr>
          <w:rFonts w:ascii="Arial" w:eastAsia="Arial" w:hAnsi="Arial" w:cs="Arial"/>
          <w:b/>
          <w:i/>
          <w:color w:val="auto"/>
          <w:szCs w:val="22"/>
        </w:rPr>
        <w:t>.</w:t>
      </w:r>
    </w:p>
    <w:p w14:paraId="2569398F" w14:textId="49D5885E" w:rsidR="0016197D" w:rsidRDefault="0016197D" w:rsidP="0016197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i/>
          <w:color w:val="00B0F0"/>
          <w:szCs w:val="22"/>
        </w:rPr>
        <w:t>(i</w:t>
      </w:r>
      <w:r w:rsidRPr="00A118AB">
        <w:rPr>
          <w:rFonts w:ascii="Arial" w:eastAsia="Arial" w:hAnsi="Arial" w:cs="Arial"/>
          <w:i/>
          <w:color w:val="00B0F0"/>
          <w:szCs w:val="22"/>
        </w:rPr>
        <w:t>n caso di risposta negativa fornire chiarimenti</w:t>
      </w:r>
      <w:r>
        <w:rPr>
          <w:rFonts w:ascii="Arial" w:eastAsia="Arial" w:hAnsi="Arial" w:cs="Arial"/>
          <w:i/>
          <w:color w:val="00B0F0"/>
          <w:szCs w:val="22"/>
        </w:rPr>
        <w:t>)</w:t>
      </w:r>
    </w:p>
    <w:p w14:paraId="56B4B2BA" w14:textId="6ED8E668" w:rsidR="0016197D" w:rsidRDefault="009C074F" w:rsidP="0016197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Pr>
          <w:rFonts w:ascii="Arial" w:eastAsia="Arial" w:hAnsi="Arial" w:cs="Arial"/>
          <w:i/>
          <w:color w:val="00B0F0"/>
          <w:szCs w:val="22"/>
        </w:rPr>
        <w:t xml:space="preserve">N.B. Si veda documento </w:t>
      </w:r>
      <w:r w:rsidRPr="009C074F">
        <w:rPr>
          <w:rFonts w:ascii="Arial" w:eastAsia="Arial" w:hAnsi="Arial" w:cs="Arial"/>
          <w:i/>
          <w:color w:val="00B0F0"/>
          <w:szCs w:val="22"/>
        </w:rPr>
        <w:t>LA CRISI NELLE SOCIETÀ PUBBLICHE,</w:t>
      </w:r>
      <w:r>
        <w:rPr>
          <w:rFonts w:ascii="Arial" w:eastAsia="Arial" w:hAnsi="Arial" w:cs="Arial"/>
          <w:i/>
          <w:color w:val="00B0F0"/>
          <w:szCs w:val="22"/>
        </w:rPr>
        <w:t xml:space="preserve"> </w:t>
      </w:r>
      <w:r w:rsidRPr="009C074F">
        <w:rPr>
          <w:rFonts w:ascii="Arial" w:eastAsia="Arial" w:hAnsi="Arial" w:cs="Arial"/>
          <w:i/>
          <w:color w:val="00B0F0"/>
          <w:szCs w:val="22"/>
        </w:rPr>
        <w:t xml:space="preserve">TRA TUSP E </w:t>
      </w:r>
      <w:r w:rsidR="00160626" w:rsidRPr="009C074F">
        <w:rPr>
          <w:rFonts w:ascii="Arial" w:eastAsia="Arial" w:hAnsi="Arial" w:cs="Arial"/>
          <w:i/>
          <w:color w:val="00B0F0"/>
          <w:szCs w:val="22"/>
        </w:rPr>
        <w:t>CCII,</w:t>
      </w:r>
      <w:r>
        <w:rPr>
          <w:rFonts w:ascii="Arial" w:eastAsia="Arial" w:hAnsi="Arial" w:cs="Arial"/>
          <w:i/>
          <w:color w:val="00B0F0"/>
          <w:szCs w:val="22"/>
        </w:rPr>
        <w:t xml:space="preserve"> maggio 2023 – Osservatorio CNDCEC</w:t>
      </w:r>
    </w:p>
    <w:p w14:paraId="5F4AF3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973C94E" w14:textId="25B33AA7" w:rsidR="000F434D" w:rsidRDefault="000F434D" w:rsidP="000F434D">
      <w:pPr>
        <w:pBdr>
          <w:top w:val="nil"/>
          <w:left w:val="nil"/>
          <w:bottom w:val="nil"/>
          <w:right w:val="nil"/>
          <w:between w:val="nil"/>
        </w:pBdr>
        <w:spacing w:line="240" w:lineRule="auto"/>
        <w:ind w:hanging="2"/>
        <w:rPr>
          <w:color w:val="000000"/>
        </w:rPr>
      </w:pPr>
      <w:r>
        <w:rPr>
          <w:rFonts w:ascii="Arial" w:eastAsia="Arial" w:hAnsi="Arial" w:cs="Arial"/>
          <w:color w:val="000000"/>
          <w:szCs w:val="22"/>
        </w:rPr>
        <w:t xml:space="preserve">L’Organo di </w:t>
      </w:r>
      <w:r w:rsidR="00594798">
        <w:rPr>
          <w:rFonts w:ascii="Arial" w:eastAsia="Arial" w:hAnsi="Arial" w:cs="Arial"/>
          <w:szCs w:val="22"/>
        </w:rPr>
        <w:t>r</w:t>
      </w:r>
      <w:r>
        <w:rPr>
          <w:rFonts w:ascii="Arial" w:eastAsia="Arial" w:hAnsi="Arial" w:cs="Arial"/>
          <w:color w:val="000000"/>
          <w:szCs w:val="22"/>
        </w:rPr>
        <w:t>evisione prende atto che l’Ente prevede di ……</w:t>
      </w:r>
      <w:r w:rsidR="00160626">
        <w:rPr>
          <w:rFonts w:ascii="Arial" w:eastAsia="Arial" w:hAnsi="Arial" w:cs="Arial"/>
          <w:color w:val="000000"/>
          <w:szCs w:val="22"/>
        </w:rPr>
        <w:t>…….. [</w:t>
      </w:r>
      <w:r>
        <w:rPr>
          <w:rFonts w:ascii="Arial" w:eastAsia="Arial" w:hAnsi="Arial" w:cs="Arial"/>
          <w:i/>
          <w:color w:val="00B0F0"/>
          <w:szCs w:val="22"/>
        </w:rPr>
        <w:t>sottoscrivere aumenti di capitale, effettuare trasferimenti straordinari, aperture di credito, rilasciare garanzie</w:t>
      </w:r>
      <w:r>
        <w:rPr>
          <w:rFonts w:ascii="Arial" w:eastAsia="Arial" w:hAnsi="Arial" w:cs="Arial"/>
          <w:color w:val="000000"/>
          <w:szCs w:val="22"/>
        </w:rPr>
        <w:t>] a favore ……………….., al fine di ……………………………….</w:t>
      </w:r>
    </w:p>
    <w:p w14:paraId="6F48FF6F" w14:textId="77777777" w:rsidR="009234C2" w:rsidRDefault="009234C2" w:rsidP="009234C2">
      <w:pPr>
        <w:widowControl w:val="0"/>
        <w:spacing w:before="120" w:after="120"/>
        <w:ind w:hanging="2"/>
        <w:rPr>
          <w:rFonts w:ascii="Arial" w:eastAsia="Arial" w:hAnsi="Arial" w:cs="Arial"/>
          <w:b/>
          <w:i/>
          <w:szCs w:val="22"/>
        </w:rPr>
      </w:pPr>
      <w:r>
        <w:rPr>
          <w:rFonts w:ascii="Arial" w:eastAsia="Arial" w:hAnsi="Arial" w:cs="Arial"/>
          <w:bCs/>
          <w:iCs/>
          <w:szCs w:val="22"/>
        </w:rPr>
        <w:lastRenderedPageBreak/>
        <w:t>(</w:t>
      </w:r>
      <w:r w:rsidRPr="009234C2">
        <w:rPr>
          <w:rFonts w:ascii="Arial" w:eastAsia="Arial" w:hAnsi="Arial" w:cs="Arial"/>
          <w:bCs/>
          <w:i/>
          <w:szCs w:val="22"/>
        </w:rPr>
        <w:t>Oppure</w:t>
      </w:r>
      <w:r>
        <w:rPr>
          <w:rFonts w:ascii="Arial" w:eastAsia="Arial" w:hAnsi="Arial" w:cs="Arial"/>
          <w:bCs/>
          <w:iCs/>
          <w:szCs w:val="22"/>
        </w:rPr>
        <w:t>)</w:t>
      </w:r>
      <w:r>
        <w:rPr>
          <w:rFonts w:ascii="Arial" w:eastAsia="Arial" w:hAnsi="Arial" w:cs="Arial"/>
          <w:b/>
          <w:i/>
          <w:szCs w:val="22"/>
        </w:rPr>
        <w:t xml:space="preserve"> </w:t>
      </w:r>
    </w:p>
    <w:p w14:paraId="4950FA48" w14:textId="450338D6" w:rsidR="000F434D" w:rsidRDefault="009234C2" w:rsidP="000F434D">
      <w:pPr>
        <w:widowControl w:val="0"/>
        <w:pBdr>
          <w:top w:val="nil"/>
          <w:left w:val="nil"/>
          <w:bottom w:val="nil"/>
          <w:right w:val="nil"/>
          <w:between w:val="nil"/>
        </w:pBdr>
        <w:spacing w:before="120" w:after="120" w:line="240" w:lineRule="auto"/>
        <w:ind w:hanging="2"/>
        <w:rPr>
          <w:rFonts w:ascii="Arial" w:eastAsia="Arial" w:hAnsi="Arial" w:cs="Arial"/>
          <w:i/>
          <w:color w:val="0000FF"/>
          <w:szCs w:val="22"/>
        </w:rPr>
      </w:pPr>
      <w:r>
        <w:rPr>
          <w:rFonts w:ascii="Arial" w:eastAsia="Arial" w:hAnsi="Arial" w:cs="Arial"/>
          <w:color w:val="000000"/>
          <w:szCs w:val="22"/>
        </w:rPr>
        <w:t>L</w:t>
      </w:r>
      <w:r w:rsidR="000F434D">
        <w:rPr>
          <w:rFonts w:ascii="Arial" w:eastAsia="Arial" w:hAnsi="Arial" w:cs="Arial"/>
          <w:color w:val="000000"/>
          <w:szCs w:val="22"/>
        </w:rPr>
        <w:t>’Organo di revisione prende atto che l’Ente non intende sottoscrivere aumenti di capitale, effettuare trasferimenti straordinari, aperture di credito, né rilasciare garanzie in favore delle proprie società partecipate.</w:t>
      </w:r>
    </w:p>
    <w:p w14:paraId="429E7BC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4FEDF59"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i/>
          <w:color w:val="000000"/>
          <w:u w:val="single"/>
        </w:rPr>
      </w:pPr>
      <w:r w:rsidRPr="005B1FBB">
        <w:rPr>
          <w:rFonts w:ascii="Arial" w:eastAsia="Arial" w:hAnsi="Arial" w:cs="Arial"/>
          <w:bCs/>
          <w:i/>
          <w:color w:val="000000"/>
          <w:szCs w:val="22"/>
          <w:u w:val="single"/>
        </w:rPr>
        <w:t>Accantonamento a copertura di perdite</w:t>
      </w:r>
    </w:p>
    <w:p w14:paraId="2295E13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59479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 xml:space="preserve">evisione </w:t>
      </w:r>
      <w:r w:rsidRPr="00405A26">
        <w:rPr>
          <w:rFonts w:ascii="Arial" w:eastAsia="Arial" w:hAnsi="Arial" w:cs="Arial"/>
          <w:bCs/>
          <w:color w:val="000000"/>
          <w:szCs w:val="22"/>
        </w:rPr>
        <w:t>ha verificato</w:t>
      </w:r>
      <w:r>
        <w:rPr>
          <w:rFonts w:ascii="Arial" w:eastAsia="Arial" w:hAnsi="Arial" w:cs="Arial"/>
          <w:bCs/>
          <w:color w:val="000000"/>
          <w:szCs w:val="22"/>
        </w:rPr>
        <w:t xml:space="preserve"> </w:t>
      </w:r>
      <w:r>
        <w:rPr>
          <w:rFonts w:ascii="Arial" w:eastAsia="Arial" w:hAnsi="Arial" w:cs="Arial"/>
          <w:color w:val="000000"/>
          <w:szCs w:val="22"/>
        </w:rPr>
        <w:t xml:space="preserve">che l’Ente </w:t>
      </w:r>
      <w:r w:rsidRPr="0016197D">
        <w:rPr>
          <w:rFonts w:ascii="Arial" w:eastAsia="Arial" w:hAnsi="Arial" w:cs="Arial"/>
          <w:b/>
          <w:bCs/>
          <w:color w:val="000000"/>
          <w:szCs w:val="22"/>
        </w:rPr>
        <w:t>ha/non ha effettuato</w:t>
      </w:r>
      <w:r>
        <w:rPr>
          <w:rFonts w:ascii="Arial" w:eastAsia="Arial" w:hAnsi="Arial" w:cs="Arial"/>
          <w:color w:val="000000"/>
          <w:szCs w:val="22"/>
        </w:rPr>
        <w:t xml:space="preserve"> l’accantonamento ai sensi dell’art. 21 commi 1 e 2 del D. lgs.175/2016 e ai sensi del comma 552 dell’art.1 della Legge 147/2013.</w:t>
      </w:r>
    </w:p>
    <w:p w14:paraId="21CA95E1" w14:textId="77777777" w:rsidR="000F434D" w:rsidRDefault="000F434D" w:rsidP="000F434D">
      <w:pPr>
        <w:pBdr>
          <w:top w:val="nil"/>
          <w:left w:val="nil"/>
          <w:bottom w:val="nil"/>
          <w:right w:val="nil"/>
          <w:between w:val="nil"/>
        </w:pBdr>
        <w:spacing w:line="240" w:lineRule="auto"/>
        <w:ind w:hanging="2"/>
        <w:rPr>
          <w:color w:val="000000"/>
        </w:rPr>
      </w:pPr>
      <w:bookmarkStart w:id="79" w:name="_heading=h.2nusc19" w:colFirst="0" w:colLast="0"/>
      <w:bookmarkEnd w:id="79"/>
    </w:p>
    <w:p w14:paraId="73E48A1D" w14:textId="1EAD1901" w:rsidR="000F434D" w:rsidRPr="00E623BE" w:rsidRDefault="009234C2" w:rsidP="000F434D">
      <w:pPr>
        <w:pBdr>
          <w:top w:val="nil"/>
          <w:left w:val="nil"/>
          <w:bottom w:val="nil"/>
          <w:right w:val="nil"/>
          <w:between w:val="nil"/>
        </w:pBdr>
        <w:spacing w:line="240" w:lineRule="auto"/>
        <w:ind w:hanging="2"/>
        <w:jc w:val="center"/>
        <w:rPr>
          <w:rFonts w:ascii="Arial" w:hAnsi="Arial" w:cs="Arial"/>
          <w:b/>
          <w:bCs/>
          <w:color w:val="000000"/>
        </w:rPr>
      </w:pPr>
      <w:r w:rsidRPr="00E623BE">
        <w:rPr>
          <w:rFonts w:ascii="Arial" w:hAnsi="Arial" w:cs="Arial"/>
          <w:b/>
          <w:bCs/>
          <w:noProof/>
          <w:color w:val="000000"/>
        </w:rPr>
        <w:t xml:space="preserve">TABELLA </w:t>
      </w:r>
      <w:r w:rsidR="00D30A4B">
        <w:rPr>
          <w:rFonts w:ascii="Arial" w:hAnsi="Arial" w:cs="Arial"/>
          <w:b/>
          <w:bCs/>
          <w:noProof/>
          <w:color w:val="000000"/>
        </w:rPr>
        <w:t>19</w:t>
      </w:r>
      <w:r w:rsidR="00E623BE">
        <w:rPr>
          <w:rFonts w:ascii="Arial" w:hAnsi="Arial" w:cs="Arial"/>
          <w:b/>
          <w:bCs/>
          <w:noProof/>
          <w:color w:val="000000"/>
        </w:rPr>
        <w:t>-</w:t>
      </w:r>
      <w:r w:rsidR="006A3916">
        <w:rPr>
          <w:rFonts w:ascii="Arial" w:hAnsi="Arial" w:cs="Arial"/>
          <w:b/>
          <w:bCs/>
          <w:noProof/>
          <w:color w:val="000000"/>
        </w:rPr>
        <w:t>b</w:t>
      </w:r>
    </w:p>
    <w:p w14:paraId="7030EABC" w14:textId="77777777" w:rsidR="000F434D" w:rsidRDefault="000F434D" w:rsidP="000F434D">
      <w:pPr>
        <w:ind w:hanging="2"/>
        <w:rPr>
          <w:rFonts w:ascii="Arial" w:hAnsi="Arial" w:cs="Arial"/>
          <w:b/>
          <w:sz w:val="20"/>
          <w:szCs w:val="20"/>
        </w:rPr>
      </w:pPr>
      <w:r>
        <w:rPr>
          <w:rStyle w:val="provvrubrica"/>
          <w:rFonts w:ascii="Arial" w:hAnsi="Arial" w:cs="Arial"/>
          <w:b/>
          <w:i/>
          <w:iCs/>
          <w:color w:val="000000"/>
          <w:szCs w:val="22"/>
        </w:rPr>
        <w:t xml:space="preserve">[EVENTUALE </w:t>
      </w:r>
      <w:r w:rsidRPr="00D80990">
        <w:rPr>
          <w:rStyle w:val="provvrubrica"/>
          <w:rFonts w:ascii="Arial" w:hAnsi="Arial" w:cs="Arial"/>
          <w:b/>
          <w:i/>
          <w:iCs/>
          <w:color w:val="000000"/>
          <w:szCs w:val="22"/>
        </w:rPr>
        <w:t>R</w:t>
      </w:r>
      <w:r>
        <w:rPr>
          <w:rStyle w:val="provvrubrica"/>
          <w:rFonts w:ascii="Arial" w:hAnsi="Arial" w:cs="Arial"/>
          <w:b/>
          <w:i/>
          <w:iCs/>
          <w:color w:val="000000"/>
          <w:szCs w:val="22"/>
        </w:rPr>
        <w:t>azionalizzazione</w:t>
      </w:r>
      <w:r w:rsidRPr="00D80990">
        <w:rPr>
          <w:rStyle w:val="provvrubrica"/>
          <w:rFonts w:ascii="Arial" w:hAnsi="Arial" w:cs="Arial"/>
          <w:b/>
          <w:i/>
          <w:iCs/>
          <w:color w:val="000000"/>
          <w:szCs w:val="22"/>
        </w:rPr>
        <w:t xml:space="preserve"> </w:t>
      </w:r>
      <w:r>
        <w:rPr>
          <w:rStyle w:val="provvrubrica"/>
          <w:rFonts w:ascii="Arial" w:hAnsi="Arial" w:cs="Arial"/>
          <w:b/>
          <w:i/>
          <w:iCs/>
          <w:color w:val="000000"/>
          <w:szCs w:val="22"/>
        </w:rPr>
        <w:t>periodica</w:t>
      </w:r>
      <w:r w:rsidRPr="00D80990">
        <w:rPr>
          <w:rStyle w:val="provvrubrica"/>
          <w:rFonts w:ascii="Arial" w:hAnsi="Arial" w:cs="Arial"/>
          <w:b/>
          <w:i/>
          <w:iCs/>
          <w:color w:val="000000"/>
          <w:szCs w:val="22"/>
        </w:rPr>
        <w:t xml:space="preserve"> delle partecipazioni </w:t>
      </w:r>
      <w:r w:rsidRPr="00D80990">
        <w:rPr>
          <w:rStyle w:val="provvrubrica"/>
          <w:rFonts w:ascii="Arial" w:hAnsi="Arial" w:cs="Arial"/>
          <w:i/>
          <w:iCs/>
          <w:color w:val="000000"/>
          <w:szCs w:val="22"/>
        </w:rPr>
        <w:t>(art. 2</w:t>
      </w:r>
      <w:r>
        <w:rPr>
          <w:rStyle w:val="provvrubrica"/>
          <w:rFonts w:ascii="Arial" w:hAnsi="Arial" w:cs="Arial"/>
          <w:i/>
          <w:iCs/>
          <w:color w:val="000000"/>
          <w:szCs w:val="22"/>
        </w:rPr>
        <w:t>0, D.l</w:t>
      </w:r>
      <w:r w:rsidRPr="00D80990">
        <w:rPr>
          <w:rStyle w:val="provvrubrica"/>
          <w:rFonts w:ascii="Arial" w:hAnsi="Arial" w:cs="Arial"/>
          <w:i/>
          <w:iCs/>
          <w:color w:val="000000"/>
          <w:szCs w:val="22"/>
        </w:rPr>
        <w:t>gs. 175/2016)</w:t>
      </w:r>
      <w:r w:rsidRPr="00EB13D6">
        <w:rPr>
          <w:rStyle w:val="provvrubrica"/>
          <w:rFonts w:ascii="Arial" w:hAnsi="Arial" w:cs="Arial"/>
          <w:i/>
          <w:iCs/>
          <w:color w:val="000000"/>
          <w:szCs w:val="22"/>
        </w:rPr>
        <w:t xml:space="preserve"> </w:t>
      </w:r>
      <w:r>
        <w:rPr>
          <w:rStyle w:val="provvrubrica"/>
          <w:rFonts w:ascii="Arial" w:hAnsi="Arial" w:cs="Arial"/>
          <w:i/>
          <w:iCs/>
          <w:color w:val="000000"/>
          <w:szCs w:val="22"/>
        </w:rPr>
        <w:t>[</w:t>
      </w:r>
      <w:r w:rsidRPr="00E616A5">
        <w:rPr>
          <w:rFonts w:ascii="Arial" w:hAnsi="Arial" w:cs="Arial"/>
          <w:color w:val="00B0F0"/>
          <w:szCs w:val="22"/>
        </w:rPr>
        <w:t xml:space="preserve">nel caso di </w:t>
      </w:r>
      <w:r w:rsidRPr="00160F09">
        <w:rPr>
          <w:rFonts w:ascii="Arial" w:hAnsi="Arial" w:cs="Arial"/>
          <w:color w:val="00B0F0"/>
          <w:szCs w:val="22"/>
        </w:rPr>
        <w:t>enti che abbiano provveduto a effettuarla prima dell’approvazione del bilancio di previsione</w:t>
      </w:r>
      <w:r>
        <w:rPr>
          <w:rFonts w:ascii="Arial" w:hAnsi="Arial" w:cs="Arial"/>
          <w:color w:val="00B0F0"/>
          <w:szCs w:val="22"/>
        </w:rPr>
        <w:t>]</w:t>
      </w:r>
    </w:p>
    <w:p w14:paraId="5EB57705" w14:textId="39A14AA0" w:rsidR="000F434D" w:rsidRPr="00BE32C7" w:rsidRDefault="000F434D" w:rsidP="000F434D">
      <w:pPr>
        <w:ind w:hanging="2"/>
        <w:rPr>
          <w:rFonts w:ascii="Arial" w:hAnsi="Arial" w:cs="Arial"/>
          <w:color w:val="auto"/>
        </w:rPr>
      </w:pPr>
      <w:r w:rsidRPr="00BE32C7">
        <w:rPr>
          <w:rFonts w:ascii="Arial" w:hAnsi="Arial" w:cs="Arial"/>
          <w:color w:val="auto"/>
        </w:rPr>
        <w:t>L’Ente ha provveduto, in data ……………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5</w:t>
      </w:r>
      <w:r w:rsidRPr="00BE32C7">
        <w:rPr>
          <w:rFonts w:ascii="Arial" w:hAnsi="Arial" w:cs="Arial"/>
          <w:color w:val="auto"/>
        </w:rPr>
        <w:t>),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D.lgs.</w:t>
      </w:r>
      <w:r w:rsidR="008102EA">
        <w:rPr>
          <w:rFonts w:ascii="Arial" w:hAnsi="Arial" w:cs="Arial"/>
          <w:color w:val="auto"/>
        </w:rPr>
        <w:t xml:space="preserve"> n.</w:t>
      </w:r>
      <w:r w:rsidRPr="00BE32C7">
        <w:rPr>
          <w:rFonts w:ascii="Arial" w:hAnsi="Arial" w:cs="Arial"/>
          <w:color w:val="auto"/>
        </w:rPr>
        <w:t xml:space="preserve">175/2016. </w:t>
      </w:r>
    </w:p>
    <w:p w14:paraId="075EB686" w14:textId="26F822CA" w:rsidR="00B9523A" w:rsidRPr="00BE32C7" w:rsidRDefault="005A3C0A" w:rsidP="000F434D">
      <w:pPr>
        <w:ind w:hanging="2"/>
        <w:rPr>
          <w:rFonts w:ascii="Arial" w:hAnsi="Arial" w:cs="Arial"/>
          <w:color w:val="auto"/>
        </w:rPr>
      </w:pPr>
      <w:r w:rsidRPr="00BE32C7">
        <w:rPr>
          <w:rFonts w:ascii="Arial" w:hAnsi="Arial" w:cs="Arial"/>
          <w:color w:val="auto"/>
        </w:rPr>
        <w:t>L</w:t>
      </w:r>
      <w:r w:rsidR="00B9523A" w:rsidRPr="00BE32C7">
        <w:rPr>
          <w:rFonts w:ascii="Arial" w:hAnsi="Arial" w:cs="Arial"/>
          <w:color w:val="auto"/>
        </w:rPr>
        <w:t>’Ente ha provveduto</w:t>
      </w:r>
      <w:r w:rsidR="0016197D" w:rsidRPr="00BE32C7">
        <w:rPr>
          <w:rFonts w:ascii="Arial" w:hAnsi="Arial" w:cs="Arial"/>
          <w:color w:val="auto"/>
        </w:rPr>
        <w:t>,</w:t>
      </w:r>
      <w:r w:rsidR="00B9523A" w:rsidRPr="00BE32C7">
        <w:rPr>
          <w:rFonts w:ascii="Arial" w:hAnsi="Arial" w:cs="Arial"/>
          <w:color w:val="auto"/>
        </w:rPr>
        <w:t xml:space="preserve"> </w:t>
      </w:r>
      <w:r w:rsidR="00395B39" w:rsidRPr="00BE32C7">
        <w:rPr>
          <w:rFonts w:ascii="Arial" w:hAnsi="Arial" w:cs="Arial"/>
          <w:color w:val="auto"/>
        </w:rPr>
        <w:t>per i servizi affidati alle stesse società</w:t>
      </w:r>
      <w:r w:rsidR="0016197D" w:rsidRPr="00BE32C7">
        <w:rPr>
          <w:rFonts w:ascii="Arial" w:hAnsi="Arial" w:cs="Arial"/>
          <w:color w:val="auto"/>
        </w:rPr>
        <w:t>,</w:t>
      </w:r>
      <w:r w:rsidR="00395B39" w:rsidRPr="00BE32C7">
        <w:rPr>
          <w:rFonts w:ascii="Arial" w:hAnsi="Arial" w:cs="Arial"/>
          <w:color w:val="auto"/>
        </w:rPr>
        <w:t xml:space="preserve"> </w:t>
      </w:r>
      <w:r w:rsidR="00B9523A" w:rsidRPr="00BE32C7">
        <w:rPr>
          <w:rFonts w:ascii="Arial" w:hAnsi="Arial" w:cs="Arial"/>
          <w:color w:val="auto"/>
        </w:rPr>
        <w:t>alla redazione della relazione ex articolo 30 del D</w:t>
      </w:r>
      <w:r w:rsidR="00594798">
        <w:rPr>
          <w:rFonts w:ascii="Arial" w:hAnsi="Arial" w:cs="Arial"/>
          <w:color w:val="auto"/>
        </w:rPr>
        <w:t>.</w:t>
      </w:r>
      <w:r w:rsidR="00B9523A" w:rsidRPr="00BE32C7">
        <w:rPr>
          <w:rFonts w:ascii="Arial" w:hAnsi="Arial" w:cs="Arial"/>
          <w:color w:val="auto"/>
        </w:rPr>
        <w:t>lgs</w:t>
      </w:r>
      <w:r w:rsidR="00594798">
        <w:rPr>
          <w:rFonts w:ascii="Arial" w:hAnsi="Arial" w:cs="Arial"/>
          <w:color w:val="auto"/>
        </w:rPr>
        <w:t>.</w:t>
      </w:r>
      <w:r w:rsidR="00B9523A" w:rsidRPr="00BE32C7">
        <w:rPr>
          <w:rFonts w:ascii="Arial" w:hAnsi="Arial" w:cs="Arial"/>
          <w:color w:val="auto"/>
        </w:rPr>
        <w:t xml:space="preserve"> </w:t>
      </w:r>
      <w:r w:rsidR="008102EA">
        <w:rPr>
          <w:rFonts w:ascii="Arial" w:hAnsi="Arial" w:cs="Arial"/>
          <w:color w:val="auto"/>
        </w:rPr>
        <w:t>n.</w:t>
      </w:r>
      <w:r w:rsidR="00B9523A" w:rsidRPr="00BE32C7">
        <w:rPr>
          <w:rFonts w:ascii="Arial" w:hAnsi="Arial" w:cs="Arial"/>
          <w:color w:val="auto"/>
        </w:rPr>
        <w:t>201/2022 con successivo invio all’ANAC.</w:t>
      </w:r>
    </w:p>
    <w:p w14:paraId="72A3F3E6" w14:textId="15D4103A" w:rsidR="000F434D" w:rsidRPr="00BE32C7" w:rsidRDefault="000F434D" w:rsidP="000F434D">
      <w:pPr>
        <w:ind w:hanging="2"/>
        <w:rPr>
          <w:rFonts w:ascii="Arial" w:hAnsi="Arial" w:cs="Arial"/>
          <w:color w:val="auto"/>
        </w:rPr>
      </w:pPr>
      <w:r w:rsidRPr="00BE32C7">
        <w:rPr>
          <w:rFonts w:ascii="Arial" w:hAnsi="Arial" w:cs="Arial"/>
          <w:color w:val="auto"/>
        </w:rPr>
        <w:t>Le partecipazioni che risultano da dismettere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6</w:t>
      </w:r>
      <w:r w:rsidRPr="00BE32C7">
        <w:rPr>
          <w:rFonts w:ascii="Arial" w:hAnsi="Arial" w:cs="Arial"/>
          <w:color w:val="auto"/>
        </w:rPr>
        <w:t xml:space="preserve"> sono:</w:t>
      </w:r>
    </w:p>
    <w:p w14:paraId="48F80C64" w14:textId="5F93D4F8" w:rsidR="009234C2" w:rsidRPr="00BE32C7" w:rsidRDefault="009234C2" w:rsidP="009234C2">
      <w:pPr>
        <w:pBdr>
          <w:top w:val="nil"/>
          <w:left w:val="nil"/>
          <w:bottom w:val="nil"/>
          <w:right w:val="nil"/>
          <w:between w:val="nil"/>
        </w:pBdr>
        <w:spacing w:line="240" w:lineRule="auto"/>
        <w:ind w:hanging="2"/>
        <w:jc w:val="center"/>
        <w:rPr>
          <w:rFonts w:ascii="Arial" w:hAnsi="Arial" w:cs="Arial"/>
          <w:b/>
          <w:bCs/>
          <w:color w:val="auto"/>
        </w:rPr>
      </w:pPr>
      <w:r w:rsidRPr="00BE32C7">
        <w:rPr>
          <w:rFonts w:ascii="Arial" w:hAnsi="Arial" w:cs="Arial"/>
          <w:b/>
          <w:bCs/>
          <w:noProof/>
          <w:color w:val="auto"/>
        </w:rPr>
        <w:t xml:space="preserve">TABELLA </w:t>
      </w:r>
      <w:r w:rsidR="00D30A4B" w:rsidRPr="00BE32C7">
        <w:rPr>
          <w:rFonts w:ascii="Arial" w:hAnsi="Arial" w:cs="Arial"/>
          <w:b/>
          <w:bCs/>
          <w:noProof/>
          <w:color w:val="auto"/>
        </w:rPr>
        <w:t>19</w:t>
      </w:r>
      <w:r w:rsidRPr="00BE32C7">
        <w:rPr>
          <w:rFonts w:ascii="Arial" w:hAnsi="Arial" w:cs="Arial"/>
          <w:b/>
          <w:bCs/>
          <w:noProof/>
          <w:color w:val="auto"/>
        </w:rPr>
        <w:t>-</w:t>
      </w:r>
      <w:r w:rsidR="006A3916" w:rsidRPr="00BE32C7">
        <w:rPr>
          <w:rFonts w:ascii="Arial" w:hAnsi="Arial" w:cs="Arial"/>
          <w:b/>
          <w:bCs/>
          <w:noProof/>
          <w:color w:val="auto"/>
        </w:rPr>
        <w:t>c</w:t>
      </w:r>
    </w:p>
    <w:p w14:paraId="0B26C006" w14:textId="77777777" w:rsidR="008102EA" w:rsidRDefault="008102EA" w:rsidP="00E623BE">
      <w:pPr>
        <w:ind w:left="-2"/>
        <w:rPr>
          <w:rFonts w:ascii="Arial" w:hAnsi="Arial" w:cs="Arial"/>
          <w:color w:val="auto"/>
        </w:rPr>
      </w:pPr>
      <w:r>
        <w:rPr>
          <w:rFonts w:ascii="Arial" w:hAnsi="Arial" w:cs="Arial"/>
          <w:color w:val="auto"/>
        </w:rPr>
        <w:t>(</w:t>
      </w:r>
      <w:r w:rsidRPr="008102EA">
        <w:rPr>
          <w:rFonts w:ascii="Arial" w:hAnsi="Arial" w:cs="Arial"/>
          <w:i/>
          <w:iCs/>
          <w:color w:val="auto"/>
        </w:rPr>
        <w:t>oppure</w:t>
      </w:r>
      <w:r>
        <w:rPr>
          <w:rFonts w:ascii="Arial" w:hAnsi="Arial" w:cs="Arial"/>
          <w:color w:val="auto"/>
        </w:rPr>
        <w:t>)</w:t>
      </w:r>
    </w:p>
    <w:p w14:paraId="05E9BE9F" w14:textId="17DC37A2" w:rsidR="000F434D" w:rsidRPr="00BE32C7" w:rsidRDefault="000F434D" w:rsidP="00E623BE">
      <w:pPr>
        <w:ind w:left="-2"/>
        <w:rPr>
          <w:rFonts w:ascii="Arial" w:hAnsi="Arial" w:cs="Arial"/>
          <w:color w:val="auto"/>
        </w:rPr>
      </w:pPr>
      <w:r w:rsidRPr="00BE32C7">
        <w:rPr>
          <w:rFonts w:ascii="Arial" w:hAnsi="Arial" w:cs="Arial"/>
          <w:color w:val="auto"/>
        </w:rPr>
        <w:t>L’Ente ha provveduto, in data ……………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5</w:t>
      </w:r>
      <w:r w:rsidRPr="00BE32C7">
        <w:rPr>
          <w:rFonts w:ascii="Arial" w:hAnsi="Arial" w:cs="Arial"/>
          <w:color w:val="auto"/>
        </w:rPr>
        <w:t xml:space="preserve">), con proprio provvedimento motivato, all’analisi dell’assetto complessivo delle società in cui detiene partecipazioni, dirette o indirette, non rilevando alcuna partecipazione da dover dismettere ai sensi del D.lgs. </w:t>
      </w:r>
      <w:r w:rsidR="008102EA">
        <w:rPr>
          <w:rFonts w:ascii="Arial" w:hAnsi="Arial" w:cs="Arial"/>
          <w:color w:val="auto"/>
        </w:rPr>
        <w:t>n.</w:t>
      </w:r>
      <w:r w:rsidRPr="00BE32C7">
        <w:rPr>
          <w:rFonts w:ascii="Arial" w:hAnsi="Arial" w:cs="Arial"/>
          <w:color w:val="auto"/>
        </w:rPr>
        <w:t>175/2016.</w:t>
      </w:r>
    </w:p>
    <w:p w14:paraId="734280B9" w14:textId="77777777" w:rsidR="000F434D" w:rsidRPr="00BE32C7" w:rsidRDefault="000F434D" w:rsidP="00DB2D30">
      <w:pPr>
        <w:rPr>
          <w:rFonts w:ascii="Arial" w:hAnsi="Arial" w:cs="Arial"/>
          <w:color w:val="auto"/>
        </w:rPr>
      </w:pPr>
    </w:p>
    <w:p w14:paraId="6C0BEA35" w14:textId="120C0438" w:rsidR="00633192" w:rsidRPr="00BE32C7" w:rsidRDefault="00633192" w:rsidP="00633192">
      <w:pPr>
        <w:ind w:hanging="2"/>
        <w:rPr>
          <w:rFonts w:ascii="Arial" w:eastAsia="Arial" w:hAnsi="Arial" w:cs="Arial"/>
          <w:bCs/>
          <w:i/>
          <w:color w:val="auto"/>
          <w:szCs w:val="22"/>
          <w:u w:val="single"/>
        </w:rPr>
      </w:pPr>
      <w:r w:rsidRPr="00BE32C7">
        <w:rPr>
          <w:rFonts w:ascii="Arial" w:eastAsia="Arial" w:hAnsi="Arial" w:cs="Arial"/>
          <w:bCs/>
          <w:i/>
          <w:color w:val="auto"/>
          <w:szCs w:val="22"/>
          <w:u w:val="single"/>
        </w:rPr>
        <w:t xml:space="preserve">Scelta della </w:t>
      </w:r>
      <w:r w:rsidR="00D12016" w:rsidRPr="00BE32C7">
        <w:rPr>
          <w:rFonts w:ascii="Arial" w:eastAsia="Arial" w:hAnsi="Arial" w:cs="Arial"/>
          <w:bCs/>
          <w:i/>
          <w:color w:val="auto"/>
          <w:szCs w:val="22"/>
          <w:u w:val="single"/>
        </w:rPr>
        <w:t>modalità</w:t>
      </w:r>
      <w:r w:rsidRPr="00BE32C7">
        <w:rPr>
          <w:rFonts w:ascii="Arial" w:eastAsia="Arial" w:hAnsi="Arial" w:cs="Arial"/>
          <w:bCs/>
          <w:i/>
          <w:color w:val="auto"/>
          <w:szCs w:val="22"/>
          <w:u w:val="single"/>
        </w:rPr>
        <w:t xml:space="preserve"> di gestione del servizio pubblico locale</w:t>
      </w:r>
    </w:p>
    <w:p w14:paraId="5BE2343B" w14:textId="392A200E" w:rsidR="001D53E6" w:rsidRPr="00BE32C7" w:rsidRDefault="001D53E6" w:rsidP="00633192">
      <w:pPr>
        <w:ind w:hanging="2"/>
        <w:rPr>
          <w:rFonts w:ascii="Arial" w:hAnsi="Arial" w:cs="Arial"/>
          <w:color w:val="auto"/>
        </w:rPr>
      </w:pPr>
      <w:r w:rsidRPr="00BE32C7">
        <w:rPr>
          <w:rFonts w:ascii="Arial" w:hAnsi="Arial" w:cs="Arial"/>
          <w:color w:val="auto"/>
        </w:rPr>
        <w:t>L’</w:t>
      </w:r>
      <w:r w:rsidR="004E1ADF" w:rsidRPr="00BE32C7">
        <w:rPr>
          <w:rFonts w:ascii="Arial" w:hAnsi="Arial" w:cs="Arial"/>
          <w:color w:val="auto"/>
        </w:rPr>
        <w:t>Organo di revisione ha verificato che l’</w:t>
      </w:r>
      <w:r w:rsidRPr="00BE32C7">
        <w:rPr>
          <w:rFonts w:ascii="Arial" w:hAnsi="Arial" w:cs="Arial"/>
          <w:color w:val="auto"/>
        </w:rPr>
        <w:t>Ente</w:t>
      </w:r>
      <w:r w:rsidR="00395B39" w:rsidRPr="00BE32C7">
        <w:rPr>
          <w:rFonts w:ascii="Arial" w:hAnsi="Arial" w:cs="Arial"/>
          <w:color w:val="auto"/>
        </w:rPr>
        <w:t>, nel caso i</w:t>
      </w:r>
      <w:r w:rsidR="0016197D" w:rsidRPr="00BE32C7">
        <w:rPr>
          <w:rFonts w:ascii="Arial" w:hAnsi="Arial" w:cs="Arial"/>
          <w:color w:val="auto"/>
        </w:rPr>
        <w:t>n</w:t>
      </w:r>
      <w:r w:rsidR="00395B39" w:rsidRPr="00BE32C7">
        <w:rPr>
          <w:rFonts w:ascii="Arial" w:hAnsi="Arial" w:cs="Arial"/>
          <w:color w:val="auto"/>
        </w:rPr>
        <w:t xml:space="preserve"> cui abbia proceduto con l’affidamento ex novo di un servizi</w:t>
      </w:r>
      <w:r w:rsidR="0016197D" w:rsidRPr="00BE32C7">
        <w:rPr>
          <w:rFonts w:ascii="Arial" w:hAnsi="Arial" w:cs="Arial"/>
          <w:color w:val="auto"/>
        </w:rPr>
        <w:t>o</w:t>
      </w:r>
      <w:r w:rsidR="00395B39" w:rsidRPr="00BE32C7">
        <w:rPr>
          <w:rFonts w:ascii="Arial" w:hAnsi="Arial" w:cs="Arial"/>
          <w:color w:val="auto"/>
        </w:rPr>
        <w:t xml:space="preserve"> pubblico a rilevanza economica,</w:t>
      </w:r>
      <w:r w:rsidRPr="00BE32C7">
        <w:rPr>
          <w:rFonts w:ascii="Arial" w:hAnsi="Arial" w:cs="Arial"/>
          <w:color w:val="auto"/>
        </w:rPr>
        <w:t xml:space="preserve"> </w:t>
      </w:r>
      <w:r w:rsidR="003A4429" w:rsidRPr="00BE32C7">
        <w:rPr>
          <w:rFonts w:ascii="Arial" w:hAnsi="Arial" w:cs="Arial"/>
          <w:b/>
          <w:bCs/>
          <w:color w:val="auto"/>
        </w:rPr>
        <w:t>ha</w:t>
      </w:r>
      <w:r w:rsidR="00395B39" w:rsidRPr="00BE32C7">
        <w:rPr>
          <w:rFonts w:ascii="Arial" w:hAnsi="Arial" w:cs="Arial"/>
          <w:b/>
          <w:bCs/>
          <w:color w:val="auto"/>
        </w:rPr>
        <w:t xml:space="preserve">/non </w:t>
      </w:r>
      <w:r w:rsidR="003A4429" w:rsidRPr="00BE32C7">
        <w:rPr>
          <w:rFonts w:ascii="Arial" w:hAnsi="Arial" w:cs="Arial"/>
          <w:b/>
          <w:bCs/>
          <w:color w:val="auto"/>
        </w:rPr>
        <w:t>ha</w:t>
      </w:r>
      <w:r w:rsidRPr="00BE32C7">
        <w:rPr>
          <w:rFonts w:ascii="Arial" w:hAnsi="Arial" w:cs="Arial"/>
          <w:color w:val="auto"/>
        </w:rPr>
        <w:t xml:space="preserve"> </w:t>
      </w:r>
      <w:r w:rsidRPr="00BE32C7">
        <w:rPr>
          <w:rFonts w:ascii="Arial" w:hAnsi="Arial" w:cs="Arial"/>
          <w:b/>
          <w:bCs/>
          <w:color w:val="auto"/>
        </w:rPr>
        <w:t>provveduto</w:t>
      </w:r>
      <w:r w:rsidR="004E1ADF" w:rsidRPr="00BE32C7">
        <w:rPr>
          <w:rFonts w:ascii="Arial" w:hAnsi="Arial" w:cs="Arial"/>
          <w:color w:val="auto"/>
        </w:rPr>
        <w:t xml:space="preserve"> a predisporre la relazione di cui all’art.14 D.lgs. </w:t>
      </w:r>
      <w:r w:rsidR="008102EA">
        <w:rPr>
          <w:rFonts w:ascii="Arial" w:hAnsi="Arial" w:cs="Arial"/>
          <w:color w:val="auto"/>
        </w:rPr>
        <w:t>n.</w:t>
      </w:r>
      <w:r w:rsidR="004E1ADF" w:rsidRPr="00BE32C7">
        <w:rPr>
          <w:rFonts w:ascii="Arial" w:hAnsi="Arial" w:cs="Arial"/>
          <w:color w:val="auto"/>
        </w:rPr>
        <w:t>201/2022.</w:t>
      </w:r>
    </w:p>
    <w:p w14:paraId="637C9F27" w14:textId="77777777" w:rsidR="001D53E6" w:rsidRDefault="001D53E6" w:rsidP="000F434D">
      <w:pPr>
        <w:ind w:hanging="2"/>
        <w:rPr>
          <w:rFonts w:ascii="Arial" w:hAnsi="Arial" w:cs="Arial"/>
        </w:rPr>
      </w:pPr>
    </w:p>
    <w:p w14:paraId="5951246E"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Garanzie rilasciate</w:t>
      </w:r>
    </w:p>
    <w:p w14:paraId="335333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garanzie rilasciate a favore degli organismi partecipati dall’Ente sono così dettagliate:</w:t>
      </w:r>
    </w:p>
    <w:p w14:paraId="19F713C5"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294CD02D" w14:textId="44D31CF1" w:rsidR="009234C2" w:rsidRPr="00E623BE" w:rsidRDefault="009234C2" w:rsidP="009234C2">
      <w:pPr>
        <w:pBdr>
          <w:top w:val="nil"/>
          <w:left w:val="nil"/>
          <w:bottom w:val="nil"/>
          <w:right w:val="nil"/>
          <w:between w:val="nil"/>
        </w:pBdr>
        <w:spacing w:line="240" w:lineRule="auto"/>
        <w:ind w:hanging="2"/>
        <w:jc w:val="center"/>
        <w:rPr>
          <w:rFonts w:ascii="Arial" w:hAnsi="Arial" w:cs="Arial"/>
          <w:b/>
          <w:bCs/>
          <w:color w:val="000000"/>
        </w:rPr>
      </w:pPr>
      <w:bookmarkStart w:id="80" w:name="_heading=h.319y80a" w:colFirst="0" w:colLast="0"/>
      <w:bookmarkEnd w:id="80"/>
      <w:r w:rsidRPr="00E623BE">
        <w:rPr>
          <w:rFonts w:ascii="Arial" w:hAnsi="Arial" w:cs="Arial"/>
          <w:b/>
          <w:bCs/>
          <w:noProof/>
          <w:color w:val="000000"/>
        </w:rPr>
        <w:t xml:space="preserve">TABELLA </w:t>
      </w:r>
      <w:r w:rsidR="00D30A4B">
        <w:rPr>
          <w:rFonts w:ascii="Arial" w:hAnsi="Arial" w:cs="Arial"/>
          <w:b/>
          <w:bCs/>
          <w:noProof/>
          <w:color w:val="000000"/>
        </w:rPr>
        <w:t>19</w:t>
      </w:r>
      <w:r w:rsidRPr="00E623BE">
        <w:rPr>
          <w:rFonts w:ascii="Arial" w:hAnsi="Arial" w:cs="Arial"/>
          <w:b/>
          <w:bCs/>
          <w:noProof/>
          <w:color w:val="000000"/>
        </w:rPr>
        <w:t>-</w:t>
      </w:r>
      <w:r w:rsidR="006A3916">
        <w:rPr>
          <w:rFonts w:ascii="Arial" w:hAnsi="Arial" w:cs="Arial"/>
          <w:b/>
          <w:bCs/>
          <w:noProof/>
          <w:color w:val="000000"/>
        </w:rPr>
        <w:t>d</w:t>
      </w:r>
    </w:p>
    <w:p w14:paraId="368C285E" w14:textId="77777777" w:rsidR="00633192" w:rsidRDefault="00633192"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0CA80B29" w14:textId="027FA84F"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 xml:space="preserve">Spese di funzionamento e gestione del personale (art. 19 D.lgs. </w:t>
      </w:r>
      <w:r w:rsidR="008102EA" w:rsidRPr="005B1FBB">
        <w:rPr>
          <w:rFonts w:ascii="Arial" w:eastAsia="Arial" w:hAnsi="Arial" w:cs="Arial"/>
          <w:bCs/>
          <w:i/>
          <w:color w:val="000000"/>
          <w:szCs w:val="22"/>
          <w:u w:val="single"/>
        </w:rPr>
        <w:t>n.</w:t>
      </w:r>
      <w:r w:rsidRPr="005B1FBB">
        <w:rPr>
          <w:rFonts w:ascii="Arial" w:eastAsia="Arial" w:hAnsi="Arial" w:cs="Arial"/>
          <w:bCs/>
          <w:i/>
          <w:color w:val="000000"/>
          <w:szCs w:val="22"/>
          <w:u w:val="single"/>
        </w:rPr>
        <w:t>175/2016)</w:t>
      </w:r>
    </w:p>
    <w:p w14:paraId="7485CC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ha fissato, con proprio provvedimento motivato, obiettivi specifici sul complesso delle spese di funzionamento, comprese quelle per il personale, delle </w:t>
      </w:r>
      <w:r>
        <w:rPr>
          <w:rFonts w:ascii="Arial" w:eastAsia="Arial" w:hAnsi="Arial" w:cs="Arial"/>
          <w:szCs w:val="22"/>
        </w:rPr>
        <w:t>società a controllo pubblico</w:t>
      </w:r>
      <w:r>
        <w:rPr>
          <w:rFonts w:ascii="Arial" w:eastAsia="Arial" w:hAnsi="Arial" w:cs="Arial"/>
          <w:color w:val="000000"/>
          <w:szCs w:val="22"/>
        </w:rPr>
        <w:t>; a tal riguardo, l’Organo di revisione rileva ……………………………………………………….</w:t>
      </w:r>
    </w:p>
    <w:p w14:paraId="5AE36A81" w14:textId="792EAB51" w:rsidR="00B37E3E" w:rsidRDefault="00583C01" w:rsidP="00B37E3E">
      <w:pPr>
        <w:pStyle w:val="Titolo1"/>
        <w:numPr>
          <w:ilvl w:val="0"/>
          <w:numId w:val="0"/>
        </w:numPr>
        <w:ind w:left="357" w:hanging="357"/>
        <w:rPr>
          <w:rFonts w:ascii="Cambria" w:eastAsia="Cambria" w:hAnsi="Cambria" w:cs="Cambria"/>
          <w:b w:val="0"/>
          <w:color w:val="000000"/>
          <w:sz w:val="32"/>
          <w:szCs w:val="32"/>
        </w:rPr>
      </w:pPr>
      <w:bookmarkStart w:id="81" w:name="_Toc219808186"/>
      <w:r>
        <w:t>11</w:t>
      </w:r>
      <w:r w:rsidR="00B37E3E" w:rsidRPr="00867831">
        <w:t xml:space="preserve">. </w:t>
      </w:r>
      <w:r w:rsidR="00B37E3E">
        <w:t>PNRR</w:t>
      </w:r>
      <w:bookmarkEnd w:id="81"/>
    </w:p>
    <w:p w14:paraId="73EC16D3" w14:textId="28A572F3" w:rsidR="00027A85" w:rsidRDefault="000F434D" w:rsidP="008350B1">
      <w:pPr>
        <w:spacing w:line="240" w:lineRule="auto"/>
        <w:rPr>
          <w:rFonts w:ascii="Arial" w:hAnsi="Arial" w:cs="Arial"/>
          <w:i/>
          <w:iCs/>
          <w:color w:val="00B0F0"/>
          <w:szCs w:val="22"/>
        </w:rPr>
      </w:pPr>
      <w:r w:rsidRPr="00BE32C7">
        <w:rPr>
          <w:rFonts w:ascii="Arial" w:hAnsi="Arial" w:cs="Arial"/>
          <w:color w:val="auto"/>
          <w:szCs w:val="22"/>
        </w:rPr>
        <w:t xml:space="preserve">L’Organo di revisione ha verificato che l’Ente </w:t>
      </w:r>
      <w:r w:rsidRPr="00BE32C7">
        <w:rPr>
          <w:rFonts w:ascii="Arial" w:hAnsi="Arial" w:cs="Arial"/>
          <w:bCs/>
          <w:color w:val="auto"/>
          <w:szCs w:val="22"/>
        </w:rPr>
        <w:t>si è dotato</w:t>
      </w:r>
      <w:r w:rsidRPr="00BE32C7">
        <w:rPr>
          <w:rFonts w:ascii="Arial" w:hAnsi="Arial" w:cs="Arial"/>
          <w:color w:val="auto"/>
          <w:szCs w:val="22"/>
        </w:rPr>
        <w:t xml:space="preserve"> di soluzioni organizzative idonee per la gestione, il monitoraggio e la rendicontazione dei fondi PNRR, anche mediante modifiche ai regolamenti interni.</w:t>
      </w:r>
      <w:r w:rsidR="008350B1">
        <w:rPr>
          <w:rFonts w:ascii="Arial" w:hAnsi="Arial" w:cs="Arial"/>
          <w:color w:val="auto"/>
          <w:szCs w:val="22"/>
        </w:rPr>
        <w:t xml:space="preserve">( </w:t>
      </w:r>
      <w:r w:rsidR="008350B1">
        <w:rPr>
          <w:rFonts w:ascii="Arial" w:hAnsi="Arial" w:cs="Arial"/>
          <w:i/>
          <w:iCs/>
          <w:color w:val="00B0F0"/>
          <w:szCs w:val="22"/>
        </w:rPr>
        <w:t>n</w:t>
      </w:r>
      <w:r w:rsidR="00027A85" w:rsidRPr="00027A85">
        <w:rPr>
          <w:rFonts w:ascii="Arial" w:hAnsi="Arial" w:cs="Arial"/>
          <w:i/>
          <w:iCs/>
          <w:color w:val="00B0F0"/>
          <w:szCs w:val="22"/>
        </w:rPr>
        <w:t>el caso di risposta negativa fornire chiarimenti</w:t>
      </w:r>
      <w:r w:rsidR="008350B1">
        <w:rPr>
          <w:rFonts w:ascii="Arial" w:hAnsi="Arial" w:cs="Arial"/>
          <w:i/>
          <w:iCs/>
          <w:color w:val="00B0F0"/>
          <w:szCs w:val="22"/>
        </w:rPr>
        <w:t>)</w:t>
      </w:r>
    </w:p>
    <w:p w14:paraId="0FC1AEDD" w14:textId="0F63639F" w:rsidR="003426AB"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w:t>
      </w:r>
      <w:r w:rsidR="003426AB" w:rsidRPr="00BE32C7">
        <w:rPr>
          <w:rFonts w:ascii="Arial" w:hAnsi="Arial" w:cs="Arial"/>
          <w:color w:val="auto"/>
          <w:szCs w:val="22"/>
        </w:rPr>
        <w:t xml:space="preserve">la gestione dei progetti del PNRR </w:t>
      </w:r>
      <w:r w:rsidR="003426AB" w:rsidRPr="009473D5">
        <w:rPr>
          <w:rFonts w:ascii="Arial" w:hAnsi="Arial" w:cs="Arial"/>
          <w:b/>
          <w:bCs/>
          <w:color w:val="auto"/>
          <w:szCs w:val="22"/>
        </w:rPr>
        <w:t xml:space="preserve">produce/non </w:t>
      </w:r>
      <w:r w:rsidR="003426AB" w:rsidRPr="00123ADD">
        <w:rPr>
          <w:rFonts w:ascii="Arial" w:hAnsi="Arial" w:cs="Arial"/>
          <w:b/>
          <w:bCs/>
          <w:color w:val="auto"/>
          <w:szCs w:val="22"/>
        </w:rPr>
        <w:t>produce</w:t>
      </w:r>
      <w:r w:rsidR="003426AB" w:rsidRPr="00123ADD">
        <w:rPr>
          <w:rFonts w:ascii="Arial" w:hAnsi="Arial" w:cs="Arial"/>
          <w:color w:val="auto"/>
          <w:szCs w:val="22"/>
        </w:rPr>
        <w:t xml:space="preserve"> effetti negativi sull’equilibrio di cassa dell’Ente</w:t>
      </w:r>
      <w:r w:rsidR="00F57B99" w:rsidRPr="00123ADD">
        <w:rPr>
          <w:rFonts w:ascii="Arial" w:hAnsi="Arial" w:cs="Arial"/>
          <w:color w:val="auto"/>
          <w:szCs w:val="22"/>
        </w:rPr>
        <w:t xml:space="preserve"> tenuto conto di quanto previsto dal Decreto MEF del 6 dicembre 2024 – pubblicato </w:t>
      </w:r>
      <w:r w:rsidR="00A27E89" w:rsidRPr="00123ADD">
        <w:rPr>
          <w:rFonts w:ascii="Arial" w:hAnsi="Arial" w:cs="Arial"/>
          <w:color w:val="auto"/>
          <w:szCs w:val="22"/>
        </w:rPr>
        <w:t>ne</w:t>
      </w:r>
      <w:r w:rsidR="00F57B99" w:rsidRPr="00123ADD">
        <w:rPr>
          <w:rFonts w:ascii="Arial" w:hAnsi="Arial" w:cs="Arial"/>
          <w:color w:val="auto"/>
          <w:szCs w:val="22"/>
        </w:rPr>
        <w:t>lla Gazzetta Ufficiale n.</w:t>
      </w:r>
      <w:r w:rsidR="00A27E89" w:rsidRPr="00123ADD">
        <w:rPr>
          <w:rFonts w:ascii="Arial" w:hAnsi="Arial" w:cs="Arial"/>
          <w:color w:val="auto"/>
          <w:szCs w:val="22"/>
        </w:rPr>
        <w:t>3 del 4.1.2025</w:t>
      </w:r>
      <w:r w:rsidR="008350B1">
        <w:rPr>
          <w:rFonts w:ascii="Arial" w:hAnsi="Arial" w:cs="Arial"/>
          <w:color w:val="auto"/>
          <w:szCs w:val="22"/>
        </w:rPr>
        <w:t xml:space="preserve"> e </w:t>
      </w:r>
      <w:r w:rsidR="008350B1" w:rsidRPr="009473D5">
        <w:rPr>
          <w:rFonts w:ascii="Arial" w:hAnsi="Arial" w:cs="Arial"/>
          <w:b/>
          <w:bCs/>
          <w:color w:val="auto"/>
          <w:szCs w:val="22"/>
        </w:rPr>
        <w:t xml:space="preserve">produce/non </w:t>
      </w:r>
      <w:r w:rsidR="008350B1" w:rsidRPr="00B1593A">
        <w:rPr>
          <w:rFonts w:ascii="Arial" w:hAnsi="Arial" w:cs="Arial"/>
          <w:b/>
          <w:bCs/>
          <w:color w:val="auto"/>
          <w:szCs w:val="22"/>
        </w:rPr>
        <w:t>produce</w:t>
      </w:r>
      <w:r w:rsidR="008350B1">
        <w:rPr>
          <w:rFonts w:ascii="Arial" w:hAnsi="Arial" w:cs="Arial"/>
          <w:color w:val="auto"/>
          <w:szCs w:val="22"/>
        </w:rPr>
        <w:t xml:space="preserve"> ritardi in tema di tempestività di pagamento</w:t>
      </w:r>
    </w:p>
    <w:p w14:paraId="6F64ADFB" w14:textId="79D6378B"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Dalle verifiche condotte dall’Organo di revisione, emerge che tutti i progetti del PNRR </w:t>
      </w:r>
      <w:r w:rsidRPr="00BE32C7">
        <w:rPr>
          <w:rFonts w:ascii="Arial" w:hAnsi="Arial" w:cs="Arial"/>
          <w:b/>
          <w:bCs/>
          <w:color w:val="auto"/>
          <w:szCs w:val="22"/>
        </w:rPr>
        <w:t>sono/non sono</w:t>
      </w:r>
      <w:r w:rsidRPr="00BE32C7">
        <w:rPr>
          <w:rFonts w:ascii="Arial" w:hAnsi="Arial" w:cs="Arial"/>
          <w:color w:val="auto"/>
          <w:szCs w:val="22"/>
        </w:rPr>
        <w:t xml:space="preserve"> in linea con gli obiettivi attesi.</w:t>
      </w:r>
    </w:p>
    <w:p w14:paraId="126A97E6" w14:textId="5E6EEE41" w:rsidR="003426AB" w:rsidRPr="00EF4909" w:rsidRDefault="003426AB" w:rsidP="000F434D">
      <w:pPr>
        <w:ind w:hanging="2"/>
        <w:rPr>
          <w:rFonts w:ascii="Arial" w:hAnsi="Arial" w:cs="Arial"/>
          <w:i/>
          <w:iCs/>
          <w:color w:val="00B0F0"/>
          <w:szCs w:val="22"/>
        </w:rPr>
      </w:pPr>
      <w:r w:rsidRPr="00EF4909">
        <w:rPr>
          <w:rFonts w:ascii="Arial" w:hAnsi="Arial" w:cs="Arial"/>
          <w:i/>
          <w:iCs/>
          <w:color w:val="00B0F0"/>
          <w:szCs w:val="22"/>
        </w:rPr>
        <w:t>In caso negativo: motivare……</w:t>
      </w:r>
    </w:p>
    <w:p w14:paraId="70AAB556" w14:textId="205BB5C2"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bCs/>
          <w:color w:val="auto"/>
          <w:szCs w:val="22"/>
        </w:rPr>
        <w:t>sia in grado di sostenere/non</w:t>
      </w:r>
      <w:r w:rsidR="00EF4909" w:rsidRPr="00BE32C7">
        <w:rPr>
          <w:rFonts w:ascii="Arial" w:hAnsi="Arial" w:cs="Arial"/>
          <w:b/>
          <w:bCs/>
          <w:color w:val="auto"/>
          <w:szCs w:val="22"/>
        </w:rPr>
        <w:t xml:space="preserve"> sia in grado di</w:t>
      </w:r>
      <w:r w:rsidRPr="00BE32C7">
        <w:rPr>
          <w:rFonts w:ascii="Arial" w:hAnsi="Arial" w:cs="Arial"/>
          <w:b/>
          <w:bCs/>
          <w:color w:val="auto"/>
          <w:szCs w:val="22"/>
        </w:rPr>
        <w:t xml:space="preserve"> sostenere</w:t>
      </w:r>
      <w:r w:rsidRPr="00BE32C7">
        <w:rPr>
          <w:rFonts w:ascii="Arial" w:hAnsi="Arial" w:cs="Arial"/>
          <w:color w:val="auto"/>
          <w:szCs w:val="22"/>
        </w:rPr>
        <w:t xml:space="preserve"> la maggiore spesa corrente che deriverà dalla realizzazione dei progetti del PNRR ai fini dell’equilibrio di bilancio.</w:t>
      </w:r>
    </w:p>
    <w:p w14:paraId="6A718802" w14:textId="761B2B57" w:rsidR="000F434D" w:rsidRPr="00BE32C7" w:rsidRDefault="000F434D" w:rsidP="008102EA">
      <w:pPr>
        <w:pBdr>
          <w:top w:val="nil"/>
          <w:left w:val="nil"/>
          <w:bottom w:val="nil"/>
          <w:right w:val="nil"/>
          <w:between w:val="nil"/>
        </w:pBdr>
        <w:spacing w:line="240" w:lineRule="auto"/>
        <w:rPr>
          <w:rFonts w:ascii="Arial" w:hAnsi="Arial" w:cs="Arial"/>
          <w:color w:val="auto"/>
          <w:szCs w:val="22"/>
        </w:rPr>
      </w:pPr>
      <w:r w:rsidRPr="00BE32C7">
        <w:rPr>
          <w:rFonts w:ascii="Arial" w:hAnsi="Arial" w:cs="Arial"/>
          <w:color w:val="auto"/>
          <w:szCs w:val="22"/>
        </w:rPr>
        <w:t>L’Organo di revisione prende atto dei progetti finanziati dal PNRR in corso alla data di redazione del presente parere come di seguito riepilogati:</w:t>
      </w:r>
    </w:p>
    <w:p w14:paraId="207B9995"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p>
    <w:p w14:paraId="40BFAF56" w14:textId="0A8BD837" w:rsidR="000F434D" w:rsidRPr="00BE32C7" w:rsidRDefault="00027A85" w:rsidP="00027A85">
      <w:pPr>
        <w:pBdr>
          <w:top w:val="nil"/>
          <w:left w:val="nil"/>
          <w:bottom w:val="nil"/>
          <w:right w:val="nil"/>
          <w:between w:val="nil"/>
        </w:pBdr>
        <w:spacing w:line="240" w:lineRule="auto"/>
        <w:ind w:hanging="2"/>
        <w:jc w:val="center"/>
        <w:rPr>
          <w:rFonts w:ascii="Arial" w:hAnsi="Arial" w:cs="Arial"/>
          <w:b/>
          <w:bCs/>
          <w:color w:val="auto"/>
          <w:szCs w:val="22"/>
        </w:rPr>
      </w:pPr>
      <w:r w:rsidRPr="00BE32C7">
        <w:rPr>
          <w:rFonts w:ascii="Arial" w:hAnsi="Arial" w:cs="Arial"/>
          <w:b/>
          <w:bCs/>
          <w:color w:val="auto"/>
          <w:szCs w:val="22"/>
        </w:rPr>
        <w:t>TABELLA 2</w:t>
      </w:r>
      <w:r w:rsidR="00587DE9" w:rsidRPr="00BE32C7">
        <w:rPr>
          <w:rFonts w:ascii="Arial" w:hAnsi="Arial" w:cs="Arial"/>
          <w:b/>
          <w:bCs/>
          <w:color w:val="auto"/>
          <w:szCs w:val="22"/>
        </w:rPr>
        <w:t>0</w:t>
      </w:r>
    </w:p>
    <w:p w14:paraId="14B657A7" w14:textId="0E4580ED" w:rsidR="000F434D" w:rsidRPr="00BE32C7" w:rsidRDefault="000F434D" w:rsidP="000F434D">
      <w:pPr>
        <w:pBdr>
          <w:top w:val="nil"/>
          <w:left w:val="nil"/>
          <w:bottom w:val="nil"/>
          <w:right w:val="nil"/>
          <w:between w:val="nil"/>
        </w:pBdr>
        <w:spacing w:line="240" w:lineRule="auto"/>
        <w:ind w:hanging="2"/>
        <w:jc w:val="center"/>
        <w:rPr>
          <w:rFonts w:ascii="Arial" w:hAnsi="Arial" w:cs="Arial"/>
          <w:b/>
          <w:bCs/>
          <w:color w:val="auto"/>
          <w:szCs w:val="22"/>
        </w:rPr>
      </w:pPr>
    </w:p>
    <w:p w14:paraId="5C8BB551" w14:textId="0E9A7740"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prende atto che ad oggi per i seguenti progetti l’Ente ha ricevuto le </w:t>
      </w:r>
      <w:r w:rsidR="00395B39" w:rsidRPr="00BE32C7">
        <w:rPr>
          <w:rFonts w:ascii="Arial" w:hAnsi="Arial" w:cs="Arial"/>
          <w:color w:val="auto"/>
          <w:szCs w:val="22"/>
        </w:rPr>
        <w:t xml:space="preserve">seguenti </w:t>
      </w:r>
      <w:r w:rsidRPr="00BE32C7">
        <w:rPr>
          <w:rFonts w:ascii="Arial" w:hAnsi="Arial" w:cs="Arial"/>
          <w:color w:val="auto"/>
          <w:szCs w:val="22"/>
        </w:rPr>
        <w:t>anticipazioni:</w:t>
      </w:r>
    </w:p>
    <w:p w14:paraId="76B7D87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05F91B1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4091E9FF"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5E0E92F2" w14:textId="4A1FA091"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lastRenderedPageBreak/>
        <w:t xml:space="preserve">L’Organo di revisione ha verificato che l’Ente </w:t>
      </w:r>
      <w:r w:rsidRPr="00BE32C7">
        <w:rPr>
          <w:rFonts w:ascii="Arial" w:hAnsi="Arial" w:cs="Arial"/>
          <w:b/>
          <w:color w:val="auto"/>
          <w:szCs w:val="22"/>
        </w:rPr>
        <w:t>ha/non ha</w:t>
      </w:r>
      <w:r w:rsidRPr="00BE32C7">
        <w:rPr>
          <w:rFonts w:ascii="Arial" w:hAnsi="Arial" w:cs="Arial"/>
          <w:color w:val="auto"/>
          <w:szCs w:val="22"/>
        </w:rPr>
        <w:t xml:space="preserve"> predisposto appositi capitoli all’interno del PEG (ai sensi dell’art. 3, co. 3, DM 11 ottobre 2021) al fine di garantire l’individuazione delle entrate e delle uscite relative al finanziamento specifico, garantendo così il tracciamento dei vincoli di competenza e di cassa</w:t>
      </w:r>
      <w:r w:rsidR="00A00960" w:rsidRPr="00BE32C7">
        <w:rPr>
          <w:rFonts w:ascii="Arial" w:hAnsi="Arial" w:cs="Arial"/>
          <w:color w:val="auto"/>
          <w:szCs w:val="22"/>
        </w:rPr>
        <w:t xml:space="preserve"> e di tutti gli atti e la relativa documentazione giustificativa su supporti informatici adeguati rendendoli disponibili per le attività di controllo e audit.</w:t>
      </w:r>
    </w:p>
    <w:p w14:paraId="7799BB5C" w14:textId="1C83E0E8" w:rsidR="009B2CDC" w:rsidRPr="00BE32C7" w:rsidRDefault="009B2CDC"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w:t>
      </w:r>
      <w:r w:rsidRPr="00BE32C7">
        <w:rPr>
          <w:rFonts w:ascii="Arial" w:hAnsi="Arial" w:cs="Arial"/>
          <w:b/>
          <w:bCs/>
          <w:color w:val="auto"/>
          <w:szCs w:val="22"/>
        </w:rPr>
        <w:t>ha effettuato</w:t>
      </w:r>
      <w:r w:rsidR="005A3C0A" w:rsidRPr="00BE32C7">
        <w:rPr>
          <w:rFonts w:ascii="Arial" w:hAnsi="Arial" w:cs="Arial"/>
          <w:b/>
          <w:bCs/>
          <w:color w:val="auto"/>
          <w:szCs w:val="22"/>
        </w:rPr>
        <w:t>/non ha effettuato</w:t>
      </w:r>
      <w:r w:rsidRPr="00BE32C7">
        <w:rPr>
          <w:rFonts w:ascii="Arial" w:hAnsi="Arial" w:cs="Arial"/>
          <w:color w:val="auto"/>
          <w:szCs w:val="22"/>
        </w:rPr>
        <w:t xml:space="preserve"> verifiche specifiche sulle modalità di accertamento, gestione e rendicontazione dei Fondi del PNRR, anche tramite l'utilizzo del sistema ReGiS.</w:t>
      </w:r>
    </w:p>
    <w:p w14:paraId="7A587622" w14:textId="252F94DA" w:rsidR="005C01E7" w:rsidRPr="00BE32C7" w:rsidRDefault="005A3C0A" w:rsidP="000F434D">
      <w:pPr>
        <w:pBdr>
          <w:top w:val="nil"/>
          <w:left w:val="nil"/>
          <w:bottom w:val="nil"/>
          <w:right w:val="nil"/>
          <w:between w:val="nil"/>
        </w:pBdr>
        <w:spacing w:line="240" w:lineRule="auto"/>
        <w:ind w:hanging="2"/>
        <w:rPr>
          <w:rFonts w:ascii="Arial" w:hAnsi="Arial" w:cs="Arial"/>
          <w:color w:val="auto"/>
          <w:szCs w:val="22"/>
        </w:rPr>
      </w:pPr>
      <w:r w:rsidRPr="00C76651">
        <w:rPr>
          <w:rFonts w:ascii="Arial" w:hAnsi="Arial" w:cs="Arial"/>
          <w:b/>
          <w:bCs/>
          <w:i/>
          <w:iCs/>
          <w:color w:val="00B0F0"/>
          <w:szCs w:val="22"/>
        </w:rPr>
        <w:t>(eventuale)</w:t>
      </w:r>
      <w:r w:rsidRPr="00C76651">
        <w:rPr>
          <w:rFonts w:ascii="Arial" w:hAnsi="Arial" w:cs="Arial"/>
          <w:color w:val="00B0F0"/>
          <w:szCs w:val="22"/>
        </w:rPr>
        <w:t xml:space="preserve"> </w:t>
      </w:r>
      <w:r w:rsidR="005C01E7" w:rsidRPr="00BE32C7">
        <w:rPr>
          <w:rFonts w:ascii="Arial" w:hAnsi="Arial" w:cs="Arial"/>
          <w:color w:val="auto"/>
          <w:szCs w:val="22"/>
        </w:rPr>
        <w:t>L’Organo di revisione ha verificato che l’Ente,</w:t>
      </w:r>
      <w:r w:rsidR="00395B39" w:rsidRPr="00BE32C7">
        <w:rPr>
          <w:rFonts w:ascii="Arial" w:hAnsi="Arial" w:cs="Arial"/>
          <w:color w:val="auto"/>
          <w:szCs w:val="22"/>
        </w:rPr>
        <w:t xml:space="preserve"> nel caso di </w:t>
      </w:r>
      <w:r w:rsidR="005C01E7" w:rsidRPr="00BE32C7">
        <w:rPr>
          <w:rFonts w:ascii="Arial" w:hAnsi="Arial" w:cs="Arial"/>
          <w:color w:val="auto"/>
          <w:szCs w:val="22"/>
        </w:rPr>
        <w:t xml:space="preserve">esercizio provvisorio o gestione provvisoria, ai sensi dell’art.15, co.4-bis, </w:t>
      </w:r>
      <w:r w:rsidR="008102EA">
        <w:rPr>
          <w:rFonts w:ascii="Arial" w:hAnsi="Arial" w:cs="Arial"/>
          <w:color w:val="auto"/>
          <w:szCs w:val="22"/>
        </w:rPr>
        <w:t>D.l.</w:t>
      </w:r>
      <w:r w:rsidR="005C01E7" w:rsidRPr="00BE32C7">
        <w:rPr>
          <w:rFonts w:ascii="Arial" w:hAnsi="Arial" w:cs="Arial"/>
          <w:color w:val="auto"/>
          <w:szCs w:val="22"/>
        </w:rPr>
        <w:t xml:space="preserve"> n.77/2021, ha iscritto a bilancio finanziamenti di derivazione statale ed europea per investimenti mediante apposita variazione,</w:t>
      </w:r>
      <w:r w:rsidR="0016197D" w:rsidRPr="00BE32C7">
        <w:rPr>
          <w:rFonts w:ascii="Arial" w:hAnsi="Arial" w:cs="Arial"/>
          <w:color w:val="auto"/>
          <w:szCs w:val="22"/>
        </w:rPr>
        <w:t xml:space="preserve"> </w:t>
      </w:r>
      <w:r w:rsidR="005C01E7" w:rsidRPr="00BE32C7">
        <w:rPr>
          <w:rFonts w:ascii="Arial" w:hAnsi="Arial" w:cs="Arial"/>
          <w:color w:val="auto"/>
          <w:szCs w:val="22"/>
        </w:rPr>
        <w:t xml:space="preserve">in deroga a quanto previsto dall’art. 163 del Tuel e dall’allegato 4/2 al </w:t>
      </w:r>
      <w:r w:rsidR="00580948">
        <w:rPr>
          <w:rFonts w:ascii="Arial" w:hAnsi="Arial" w:cs="Arial"/>
          <w:color w:val="auto"/>
          <w:szCs w:val="22"/>
        </w:rPr>
        <w:t>D</w:t>
      </w:r>
      <w:r w:rsidR="005C01E7" w:rsidRPr="00BE32C7">
        <w:rPr>
          <w:rFonts w:ascii="Arial" w:hAnsi="Arial" w:cs="Arial"/>
          <w:color w:val="auto"/>
          <w:szCs w:val="22"/>
        </w:rPr>
        <w:t xml:space="preserve">.lgs. </w:t>
      </w:r>
      <w:r w:rsidR="008102EA">
        <w:rPr>
          <w:rFonts w:ascii="Arial" w:hAnsi="Arial" w:cs="Arial"/>
          <w:color w:val="auto"/>
          <w:szCs w:val="22"/>
        </w:rPr>
        <w:t>n.</w:t>
      </w:r>
      <w:r w:rsidR="005C01E7" w:rsidRPr="00BE32C7">
        <w:rPr>
          <w:rFonts w:ascii="Arial" w:hAnsi="Arial" w:cs="Arial"/>
          <w:color w:val="auto"/>
          <w:szCs w:val="22"/>
        </w:rPr>
        <w:t>118/2011.</w:t>
      </w:r>
    </w:p>
    <w:p w14:paraId="2E243100" w14:textId="5972D824" w:rsidR="005C01E7" w:rsidRPr="00BE32C7" w:rsidRDefault="005C01E7" w:rsidP="000F434D">
      <w:pPr>
        <w:pBdr>
          <w:top w:val="nil"/>
          <w:left w:val="nil"/>
          <w:bottom w:val="nil"/>
          <w:right w:val="nil"/>
          <w:between w:val="nil"/>
        </w:pBdr>
        <w:spacing w:line="240" w:lineRule="auto"/>
        <w:ind w:hanging="2"/>
        <w:rPr>
          <w:rFonts w:ascii="Arial" w:hAnsi="Arial" w:cs="Arial"/>
          <w:i/>
          <w:iCs/>
          <w:color w:val="auto"/>
          <w:szCs w:val="22"/>
        </w:rPr>
      </w:pPr>
      <w:r w:rsidRPr="00BE32C7">
        <w:rPr>
          <w:rFonts w:ascii="Arial" w:hAnsi="Arial" w:cs="Arial"/>
          <w:i/>
          <w:iCs/>
          <w:color w:val="auto"/>
          <w:szCs w:val="22"/>
        </w:rPr>
        <w:t>(in caso di risposta negativa fornire chiarimenti)</w:t>
      </w:r>
    </w:p>
    <w:p w14:paraId="50C8FA6E" w14:textId="71AC44ED" w:rsidR="000F434D" w:rsidRDefault="000F434D" w:rsidP="000F434D">
      <w:pPr>
        <w:pBdr>
          <w:top w:val="nil"/>
          <w:left w:val="nil"/>
          <w:bottom w:val="nil"/>
          <w:right w:val="nil"/>
          <w:between w:val="nil"/>
        </w:pBdr>
        <w:spacing w:line="240" w:lineRule="auto"/>
        <w:ind w:hanging="2"/>
        <w:rPr>
          <w:rFonts w:ascii="Arial" w:hAnsi="Arial" w:cs="Arial"/>
          <w:szCs w:val="22"/>
        </w:rPr>
      </w:pPr>
      <w:r w:rsidRPr="00BE32C7">
        <w:rPr>
          <w:rFonts w:ascii="Arial" w:hAnsi="Arial" w:cs="Arial"/>
          <w:color w:val="auto"/>
          <w:szCs w:val="22"/>
        </w:rPr>
        <w:t>L’Organo di revisione ha verificato</w:t>
      </w:r>
      <w:r w:rsidRPr="00BE32C7">
        <w:rPr>
          <w:rFonts w:ascii="Arial" w:hAnsi="Arial" w:cs="Arial"/>
          <w:b/>
          <w:color w:val="auto"/>
          <w:szCs w:val="22"/>
        </w:rPr>
        <w:t xml:space="preserve"> il rispetto</w:t>
      </w:r>
      <w:r w:rsidR="005A3C0A" w:rsidRPr="00BE32C7">
        <w:rPr>
          <w:rFonts w:ascii="Arial" w:hAnsi="Arial" w:cs="Arial"/>
          <w:b/>
          <w:color w:val="auto"/>
          <w:szCs w:val="22"/>
        </w:rPr>
        <w:t>/il non rispetto</w:t>
      </w:r>
      <w:r w:rsidRPr="00BE32C7">
        <w:rPr>
          <w:rFonts w:ascii="Arial" w:hAnsi="Arial" w:cs="Arial"/>
          <w:color w:val="auto"/>
          <w:szCs w:val="22"/>
        </w:rPr>
        <w:t xml:space="preserve"> delle regole contabili previste per i fondi del PNRR così come richiamate dalla FAQ 48 di Arconet anche con riferimento alle somme messe a disposizione dal Decreto Opere Indifferibili.</w:t>
      </w:r>
    </w:p>
    <w:p w14:paraId="1054A416" w14:textId="031A2053" w:rsidR="00027A85" w:rsidRPr="00BE32C7" w:rsidRDefault="00027A85" w:rsidP="000F434D">
      <w:pPr>
        <w:pBdr>
          <w:top w:val="nil"/>
          <w:left w:val="nil"/>
          <w:bottom w:val="nil"/>
          <w:right w:val="nil"/>
          <w:between w:val="nil"/>
        </w:pBdr>
        <w:spacing w:line="240" w:lineRule="auto"/>
        <w:ind w:hanging="2"/>
        <w:rPr>
          <w:rFonts w:ascii="Arial" w:hAnsi="Arial" w:cs="Arial"/>
          <w:i/>
          <w:iCs/>
          <w:color w:val="auto"/>
          <w:szCs w:val="22"/>
        </w:rPr>
      </w:pPr>
      <w:r w:rsidRPr="00C96A33">
        <w:rPr>
          <w:rFonts w:ascii="Arial" w:hAnsi="Arial" w:cs="Arial"/>
          <w:i/>
          <w:iCs/>
          <w:color w:val="00B0F0"/>
          <w:szCs w:val="22"/>
        </w:rPr>
        <w:t>Nel caso di risposta negativa fornire chiarimenti…………..</w:t>
      </w:r>
    </w:p>
    <w:p w14:paraId="243170C0" w14:textId="1A44D486"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Nel caso in cui l’Ente abbia deciso di imputare a carico dei fondi del PNRR una quota di spesa di personale, l’Organo di </w:t>
      </w:r>
      <w:r w:rsidR="00594798">
        <w:rPr>
          <w:rFonts w:ascii="Arial" w:hAnsi="Arial" w:cs="Arial"/>
          <w:color w:val="auto"/>
          <w:szCs w:val="22"/>
        </w:rPr>
        <w:t>r</w:t>
      </w:r>
      <w:r w:rsidRPr="00BE32C7">
        <w:rPr>
          <w:rFonts w:ascii="Arial" w:hAnsi="Arial" w:cs="Arial"/>
          <w:color w:val="auto"/>
          <w:szCs w:val="22"/>
        </w:rPr>
        <w:t>evisione ha verificato:</w:t>
      </w:r>
    </w:p>
    <w:p w14:paraId="17BF361E" w14:textId="1815C234" w:rsidR="000F434D" w:rsidRPr="00BE32C7" w:rsidRDefault="00027A85"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 che l’Ente </w:t>
      </w:r>
      <w:r w:rsidRPr="00BE32C7">
        <w:rPr>
          <w:rFonts w:ascii="Arial" w:hAnsi="Arial" w:cs="Arial"/>
          <w:b/>
          <w:bCs/>
          <w:color w:val="auto"/>
          <w:szCs w:val="22"/>
        </w:rPr>
        <w:t>ha predisposto</w:t>
      </w:r>
      <w:r w:rsidR="0016197D" w:rsidRPr="00BE32C7">
        <w:rPr>
          <w:rFonts w:ascii="Arial" w:hAnsi="Arial" w:cs="Arial"/>
          <w:b/>
          <w:bCs/>
          <w:color w:val="auto"/>
          <w:szCs w:val="22"/>
        </w:rPr>
        <w:t>/non ha predisposto</w:t>
      </w:r>
      <w:r w:rsidRPr="00BE32C7">
        <w:rPr>
          <w:rFonts w:ascii="Arial" w:hAnsi="Arial" w:cs="Arial"/>
          <w:color w:val="auto"/>
          <w:szCs w:val="22"/>
        </w:rPr>
        <w:t xml:space="preserve"> la pianificazione del fabbisogno del personale 202</w:t>
      </w:r>
      <w:r w:rsidR="00DB2D30">
        <w:rPr>
          <w:rFonts w:ascii="Arial" w:hAnsi="Arial" w:cs="Arial"/>
          <w:color w:val="auto"/>
          <w:szCs w:val="22"/>
        </w:rPr>
        <w:t>6</w:t>
      </w:r>
      <w:r w:rsidR="00BA11B2" w:rsidRPr="00BE32C7">
        <w:rPr>
          <w:rFonts w:ascii="Arial" w:hAnsi="Arial" w:cs="Arial"/>
          <w:color w:val="auto"/>
          <w:szCs w:val="22"/>
        </w:rPr>
        <w:t>-</w:t>
      </w:r>
      <w:r w:rsidRPr="00BE32C7">
        <w:rPr>
          <w:rFonts w:ascii="Arial" w:hAnsi="Arial" w:cs="Arial"/>
          <w:color w:val="auto"/>
          <w:szCs w:val="22"/>
        </w:rPr>
        <w:t>202</w:t>
      </w:r>
      <w:r w:rsidR="00DB2D30">
        <w:rPr>
          <w:rFonts w:ascii="Arial" w:hAnsi="Arial" w:cs="Arial"/>
          <w:color w:val="auto"/>
          <w:szCs w:val="22"/>
        </w:rPr>
        <w:t>8</w:t>
      </w:r>
      <w:r w:rsidRPr="00BE32C7">
        <w:rPr>
          <w:rFonts w:ascii="Arial" w:hAnsi="Arial" w:cs="Arial"/>
          <w:color w:val="auto"/>
          <w:szCs w:val="22"/>
        </w:rPr>
        <w:t xml:space="preserve"> in maniera coerente ai progetti del PNRR;</w:t>
      </w:r>
    </w:p>
    <w:p w14:paraId="3F35FB97" w14:textId="03E265D8" w:rsidR="00C96A33" w:rsidRPr="00BE32C7" w:rsidRDefault="00C96A33"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che l’Ente prevede di assumere in servizio nel corso del 202</w:t>
      </w:r>
      <w:r w:rsidR="003B53FC">
        <w:rPr>
          <w:rFonts w:ascii="Arial" w:hAnsi="Arial" w:cs="Arial"/>
          <w:color w:val="auto"/>
          <w:szCs w:val="22"/>
        </w:rPr>
        <w:t xml:space="preserve">6 </w:t>
      </w:r>
      <w:r w:rsidRPr="00BE32C7">
        <w:rPr>
          <w:rFonts w:ascii="Arial" w:hAnsi="Arial" w:cs="Arial"/>
          <w:color w:val="auto"/>
          <w:szCs w:val="22"/>
        </w:rPr>
        <w:t>personale a tempo determinato, in deroga agli ordinari limiti, ai sensi di quanto previsto dall’art.31-bis del D.l. 152/2021</w:t>
      </w:r>
      <w:r w:rsidR="00BE32C7">
        <w:rPr>
          <w:rFonts w:ascii="Arial" w:hAnsi="Arial" w:cs="Arial"/>
          <w:color w:val="auto"/>
          <w:szCs w:val="22"/>
        </w:rPr>
        <w:t>.</w:t>
      </w:r>
    </w:p>
    <w:p w14:paraId="2772F97A" w14:textId="1BA00E44" w:rsidR="00C96A33" w:rsidRDefault="00C96A33" w:rsidP="000F434D">
      <w:pPr>
        <w:pBdr>
          <w:top w:val="nil"/>
          <w:left w:val="nil"/>
          <w:bottom w:val="nil"/>
          <w:right w:val="nil"/>
          <w:between w:val="nil"/>
        </w:pBdr>
        <w:spacing w:line="240" w:lineRule="auto"/>
        <w:ind w:hanging="2"/>
        <w:rPr>
          <w:rFonts w:ascii="Arial" w:hAnsi="Arial" w:cs="Arial"/>
          <w:color w:val="00B0F0"/>
          <w:szCs w:val="22"/>
        </w:rPr>
      </w:pPr>
      <w:r w:rsidRPr="00C96A33">
        <w:rPr>
          <w:rFonts w:ascii="Arial" w:hAnsi="Arial" w:cs="Arial"/>
          <w:color w:val="00B0F0"/>
          <w:szCs w:val="22"/>
        </w:rPr>
        <w:t>(</w:t>
      </w:r>
      <w:r w:rsidRPr="00C96A33">
        <w:rPr>
          <w:rFonts w:ascii="Arial" w:hAnsi="Arial" w:cs="Arial"/>
          <w:i/>
          <w:iCs/>
          <w:color w:val="00B0F0"/>
          <w:szCs w:val="22"/>
        </w:rPr>
        <w:t>Nel caso di risposta affermativa</w:t>
      </w:r>
      <w:r>
        <w:rPr>
          <w:rFonts w:ascii="Arial" w:hAnsi="Arial" w:cs="Arial"/>
          <w:i/>
          <w:iCs/>
          <w:color w:val="00B0F0"/>
          <w:szCs w:val="22"/>
        </w:rPr>
        <w:t xml:space="preserve">) </w:t>
      </w:r>
      <w:r>
        <w:rPr>
          <w:rFonts w:ascii="Arial" w:hAnsi="Arial" w:cs="Arial"/>
          <w:color w:val="00B0F0"/>
          <w:szCs w:val="22"/>
        </w:rPr>
        <w:t xml:space="preserve">L’Organo di revisione ha </w:t>
      </w:r>
      <w:r w:rsidR="00B067CB">
        <w:rPr>
          <w:rFonts w:ascii="Arial" w:hAnsi="Arial" w:cs="Arial"/>
          <w:color w:val="00B0F0"/>
          <w:szCs w:val="22"/>
        </w:rPr>
        <w:t>asseverato il rispetto dell’equilibrio pluriennale vincolato con parere del ___________</w:t>
      </w:r>
    </w:p>
    <w:p w14:paraId="00E53CFC" w14:textId="704CC3C0" w:rsidR="00B067CB" w:rsidRPr="00BE32C7" w:rsidRDefault="00B067CB"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L’Organo di revisione ha verificato:</w:t>
      </w:r>
    </w:p>
    <w:p w14:paraId="6A1ADB30" w14:textId="1E65A77F" w:rsidR="0013472C"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color w:val="auto"/>
          <w:szCs w:val="22"/>
        </w:rPr>
      </w:pPr>
      <w:r w:rsidRPr="00BE32C7">
        <w:rPr>
          <w:rFonts w:ascii="Arial" w:hAnsi="Arial" w:cs="Arial"/>
          <w:color w:val="auto"/>
          <w:szCs w:val="22"/>
        </w:rPr>
        <w:t xml:space="preserve">il </w:t>
      </w:r>
      <w:r w:rsidRPr="00BE32C7">
        <w:rPr>
          <w:rFonts w:ascii="Arial" w:hAnsi="Arial" w:cs="Arial"/>
          <w:bCs/>
          <w:color w:val="auto"/>
          <w:szCs w:val="22"/>
        </w:rPr>
        <w:t>rispetto</w:t>
      </w:r>
      <w:r w:rsidRPr="00BE32C7">
        <w:rPr>
          <w:rFonts w:ascii="Arial" w:hAnsi="Arial" w:cs="Arial"/>
          <w:color w:val="auto"/>
          <w:szCs w:val="22"/>
        </w:rPr>
        <w:t xml:space="preserve"> di quanto previsto dalla Circolare 4/2022 della RGS</w:t>
      </w:r>
      <w:r w:rsidR="00BE0721">
        <w:rPr>
          <w:rFonts w:ascii="Arial" w:hAnsi="Arial" w:cs="Arial"/>
          <w:color w:val="auto"/>
          <w:szCs w:val="22"/>
        </w:rPr>
        <w:t>;</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risposta negativa fornire chiarimenti</w:t>
      </w:r>
      <w:r w:rsidR="00633192" w:rsidRPr="00BE32C7">
        <w:rPr>
          <w:rFonts w:ascii="Arial" w:hAnsi="Arial" w:cs="Arial"/>
          <w:color w:val="auto"/>
          <w:szCs w:val="22"/>
        </w:rPr>
        <w:t>)</w:t>
      </w:r>
    </w:p>
    <w:p w14:paraId="494F9F54" w14:textId="36CA5D94" w:rsidR="0037282E" w:rsidRPr="0059751B" w:rsidRDefault="000F434D" w:rsidP="00123ADD">
      <w:pPr>
        <w:numPr>
          <w:ilvl w:val="0"/>
          <w:numId w:val="16"/>
        </w:num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r w:rsidRPr="0013472C">
        <w:rPr>
          <w:rFonts w:ascii="Arial" w:hAnsi="Arial" w:cs="Arial"/>
          <w:bCs/>
          <w:color w:val="auto"/>
          <w:szCs w:val="22"/>
        </w:rPr>
        <w:t>la corretta rappresentazione contabile mediante il rispetto della natura della spesa e la coerente fonte di finanziamento</w:t>
      </w:r>
      <w:r w:rsidR="00BE0721" w:rsidRPr="0013472C">
        <w:rPr>
          <w:rFonts w:ascii="Arial" w:hAnsi="Arial" w:cs="Arial"/>
          <w:bCs/>
          <w:color w:val="auto"/>
          <w:szCs w:val="22"/>
        </w:rPr>
        <w:t>;</w:t>
      </w:r>
      <w:r w:rsidR="00633192" w:rsidRPr="0013472C">
        <w:rPr>
          <w:rFonts w:ascii="Arial" w:hAnsi="Arial" w:cs="Arial"/>
          <w:bCs/>
          <w:color w:val="auto"/>
          <w:szCs w:val="22"/>
        </w:rPr>
        <w:t xml:space="preserve"> </w:t>
      </w:r>
      <w:r w:rsidR="00633192" w:rsidRPr="00123ADD">
        <w:rPr>
          <w:rFonts w:ascii="Arial" w:hAnsi="Arial" w:cs="Arial"/>
          <w:bCs/>
          <w:color w:val="auto"/>
          <w:szCs w:val="22"/>
        </w:rPr>
        <w:t>(</w:t>
      </w:r>
      <w:r w:rsidR="00633192" w:rsidRPr="00123ADD">
        <w:rPr>
          <w:rFonts w:ascii="Arial" w:hAnsi="Arial" w:cs="Arial"/>
          <w:bCs/>
          <w:i/>
          <w:iCs/>
          <w:color w:val="00B0F0"/>
          <w:szCs w:val="22"/>
        </w:rPr>
        <w:t>nel caso di non corretta rappresentazione contabile fornire chiarimenti</w:t>
      </w:r>
      <w:r w:rsidR="00633192" w:rsidRPr="00123ADD">
        <w:rPr>
          <w:rFonts w:ascii="Arial" w:hAnsi="Arial" w:cs="Arial"/>
          <w:bCs/>
          <w:color w:val="auto"/>
          <w:szCs w:val="22"/>
        </w:rPr>
        <w:t>)</w:t>
      </w:r>
      <w:r w:rsidR="0037282E" w:rsidRPr="0013472C">
        <w:rPr>
          <w:rFonts w:ascii="Arial" w:hAnsi="Arial" w:cs="Arial"/>
          <w:i/>
          <w:iCs/>
          <w:color w:val="auto"/>
          <w:szCs w:val="22"/>
        </w:rPr>
        <w:t xml:space="preserve"> </w:t>
      </w:r>
    </w:p>
    <w:p w14:paraId="0F323C9D" w14:textId="6408D3E9" w:rsidR="000F434D" w:rsidRPr="0059751B" w:rsidRDefault="00B20671" w:rsidP="00123ADD">
      <w:pPr>
        <w:numPr>
          <w:ilvl w:val="0"/>
          <w:numId w:val="16"/>
        </w:num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r w:rsidRPr="0059751B">
        <w:rPr>
          <w:rFonts w:ascii="Arial" w:eastAsia="Arial" w:hAnsi="Arial" w:cs="Arial"/>
          <w:color w:val="auto"/>
          <w:szCs w:val="22"/>
        </w:rPr>
        <w:t>la previsione</w:t>
      </w:r>
      <w:r w:rsidR="00BE0721" w:rsidRPr="0059751B">
        <w:rPr>
          <w:rFonts w:ascii="Arial" w:eastAsia="Arial" w:hAnsi="Arial" w:cs="Arial"/>
          <w:color w:val="auto"/>
          <w:szCs w:val="22"/>
        </w:rPr>
        <w:t xml:space="preserve"> </w:t>
      </w:r>
      <w:r w:rsidRPr="0059751B">
        <w:rPr>
          <w:rFonts w:ascii="Arial" w:eastAsia="Arial" w:hAnsi="Arial" w:cs="Arial"/>
          <w:color w:val="auto"/>
          <w:szCs w:val="22"/>
        </w:rPr>
        <w:t xml:space="preserve">in bilancio </w:t>
      </w:r>
      <w:r w:rsidR="00BE0721" w:rsidRPr="0059751B">
        <w:rPr>
          <w:rFonts w:ascii="Arial" w:eastAsia="Arial" w:hAnsi="Arial" w:cs="Arial"/>
          <w:color w:val="auto"/>
          <w:szCs w:val="22"/>
        </w:rPr>
        <w:t xml:space="preserve">del ricorso alle </w:t>
      </w:r>
      <w:r w:rsidR="0013472C" w:rsidRPr="0059751B">
        <w:rPr>
          <w:rFonts w:ascii="Arial" w:eastAsia="Arial" w:hAnsi="Arial" w:cs="Arial"/>
          <w:color w:val="auto"/>
          <w:szCs w:val="22"/>
        </w:rPr>
        <w:t xml:space="preserve">eventuali </w:t>
      </w:r>
      <w:r w:rsidR="00BE0721" w:rsidRPr="0059751B">
        <w:rPr>
          <w:rFonts w:ascii="Arial" w:eastAsia="Arial" w:hAnsi="Arial" w:cs="Arial"/>
          <w:color w:val="auto"/>
          <w:szCs w:val="22"/>
        </w:rPr>
        <w:t>anticipazioni fino al limite cumulativo del 90 per cento del costo dell’intervento previsto dall’art. 18-</w:t>
      </w:r>
      <w:r w:rsidR="00BE0721" w:rsidRPr="0059751B">
        <w:rPr>
          <w:rFonts w:ascii="Arial" w:eastAsia="Arial" w:hAnsi="Arial" w:cs="Arial"/>
          <w:i/>
          <w:iCs/>
          <w:color w:val="auto"/>
          <w:szCs w:val="22"/>
        </w:rPr>
        <w:t>quinquies</w:t>
      </w:r>
      <w:r w:rsidR="00BE0721" w:rsidRPr="0059751B">
        <w:rPr>
          <w:rFonts w:ascii="Arial" w:eastAsia="Arial" w:hAnsi="Arial" w:cs="Arial"/>
          <w:color w:val="auto"/>
          <w:szCs w:val="22"/>
        </w:rPr>
        <w:t xml:space="preserve"> del d.l. 113/2024.</w:t>
      </w:r>
    </w:p>
    <w:p w14:paraId="301921F7" w14:textId="77777777" w:rsidR="0059751B" w:rsidRP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p>
    <w:p w14:paraId="52E9876D"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04B24830"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6A04C3D1"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1F627548" w14:textId="77777777" w:rsidR="0059751B" w:rsidRPr="0037282E"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551D0EAE" w14:textId="3AD2EDDB" w:rsidR="000F434D" w:rsidRPr="00027A85" w:rsidRDefault="00583C01" w:rsidP="00583C01">
      <w:pPr>
        <w:pStyle w:val="Titolo1"/>
        <w:numPr>
          <w:ilvl w:val="0"/>
          <w:numId w:val="0"/>
        </w:numPr>
        <w:ind w:left="357" w:hanging="357"/>
        <w:rPr>
          <w:rFonts w:ascii="Cambria" w:eastAsia="Cambria" w:hAnsi="Cambria" w:cs="Cambria"/>
          <w:b w:val="0"/>
          <w:bCs/>
          <w:color w:val="000000"/>
          <w:sz w:val="32"/>
          <w:szCs w:val="32"/>
        </w:rPr>
      </w:pPr>
      <w:bookmarkStart w:id="82" w:name="_Toc219808187"/>
      <w:r>
        <w:lastRenderedPageBreak/>
        <w:t>12</w:t>
      </w:r>
      <w:r w:rsidR="00B37E3E" w:rsidRPr="00867831">
        <w:t xml:space="preserve">. </w:t>
      </w:r>
      <w:r>
        <w:t>OSSERVAZIONI E SUGGERIMENTI</w:t>
      </w:r>
      <w:bookmarkEnd w:id="82"/>
    </w:p>
    <w:p w14:paraId="336E6E38" w14:textId="418A8F54" w:rsidR="006B11E3" w:rsidRPr="00123ADD" w:rsidRDefault="006B11E3" w:rsidP="006B11E3">
      <w:pPr>
        <w:widowControl w:val="0"/>
        <w:overflowPunct w:val="0"/>
        <w:autoSpaceDE w:val="0"/>
        <w:autoSpaceDN w:val="0"/>
        <w:adjustRightInd w:val="0"/>
        <w:spacing w:after="120" w:line="240" w:lineRule="auto"/>
        <w:textAlignment w:val="baseline"/>
        <w:rPr>
          <w:rFonts w:ascii="Arial" w:eastAsiaTheme="majorEastAsia" w:hAnsi="Arial" w:cs="Arial"/>
          <w:b/>
          <w:i/>
          <w:iCs/>
          <w:color w:val="EE0000"/>
          <w:sz w:val="24"/>
          <w:szCs w:val="24"/>
        </w:rPr>
      </w:pPr>
      <w:r w:rsidRPr="00123ADD">
        <w:rPr>
          <w:rFonts w:ascii="Arial" w:eastAsiaTheme="majorEastAsia" w:hAnsi="Arial" w:cs="Arial"/>
          <w:b/>
          <w:i/>
          <w:iCs/>
          <w:color w:val="EE0000"/>
          <w:sz w:val="24"/>
          <w:szCs w:val="24"/>
        </w:rPr>
        <w:t>N.B. Nel caso in cui l’Organo di revisione dovesse riscontrare irregolarità, inadempienze, criticità e/o anomalie il presente paragrafo è dedicato alla segnalazione di tali evidenze. In particolare</w:t>
      </w:r>
      <w:r w:rsidR="0013472C">
        <w:rPr>
          <w:rFonts w:ascii="Arial" w:eastAsiaTheme="majorEastAsia" w:hAnsi="Arial" w:cs="Arial"/>
          <w:b/>
          <w:i/>
          <w:iCs/>
          <w:color w:val="EE0000"/>
          <w:sz w:val="24"/>
          <w:szCs w:val="24"/>
        </w:rPr>
        <w:t>,</w:t>
      </w:r>
      <w:r w:rsidRPr="00123ADD">
        <w:rPr>
          <w:rFonts w:ascii="Arial" w:eastAsiaTheme="majorEastAsia" w:hAnsi="Arial" w:cs="Arial"/>
          <w:b/>
          <w:i/>
          <w:iCs/>
          <w:color w:val="EE0000"/>
          <w:sz w:val="24"/>
          <w:szCs w:val="24"/>
        </w:rPr>
        <w:t xml:space="preserve"> l’Organo di revisione deve porre particolare attenzione, a titolo esemplificativo e non esaustivo, alle seguenti criticità/anomalie eventualmente riscontrate nello svolgimento delle suddette verifiche:</w:t>
      </w:r>
    </w:p>
    <w:p w14:paraId="3C532909" w14:textId="77777777" w:rsidR="006B11E3" w:rsidRPr="00833F8E" w:rsidRDefault="006B11E3" w:rsidP="006B11E3">
      <w:pPr>
        <w:widowControl w:val="0"/>
        <w:overflowPunct w:val="0"/>
        <w:autoSpaceDE w:val="0"/>
        <w:autoSpaceDN w:val="0"/>
        <w:adjustRightInd w:val="0"/>
        <w:spacing w:after="0" w:line="240" w:lineRule="auto"/>
        <w:rPr>
          <w:rFonts w:ascii="Arial" w:eastAsia="Times New Roman" w:hAnsi="Arial" w:cs="Arial"/>
          <w:i/>
          <w:color w:val="auto"/>
          <w:szCs w:val="22"/>
          <w:lang w:eastAsia="it-IT"/>
        </w:rPr>
      </w:pPr>
    </w:p>
    <w:p w14:paraId="1ECCCC23" w14:textId="6963F1C9" w:rsidR="006B11E3" w:rsidRPr="00B20671" w:rsidRDefault="006B11E3"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B20671">
        <w:rPr>
          <w:rFonts w:ascii="Arial" w:eastAsia="Times New Roman" w:hAnsi="Arial" w:cs="Arial"/>
          <w:i/>
          <w:lang w:eastAsia="it-IT"/>
        </w:rPr>
        <w:t>mancata o erronea contabilizzazione del fondo pluriennale vincolato (FPV) e cronoprogrammi di spesa;</w:t>
      </w:r>
    </w:p>
    <w:p w14:paraId="31C0141C" w14:textId="4FCD0BC8"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contabilizzazione dei contributi a rendicontazione;</w:t>
      </w:r>
    </w:p>
    <w:p w14:paraId="061811DB" w14:textId="2B2F5224"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ovrastima delle entrate</w:t>
      </w:r>
    </w:p>
    <w:p w14:paraId="6471B9FA" w14:textId="6DF4B51F"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del fondo crediti dubbia esigibilità (FCDE);</w:t>
      </w:r>
    </w:p>
    <w:p w14:paraId="4E68D35A" w14:textId="5B0430F9"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del fondo garanzia debiti commerciali (FGDC);</w:t>
      </w:r>
    </w:p>
    <w:p w14:paraId="3D921401" w14:textId="626A3879"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degli altri accantonamenti;</w:t>
      </w:r>
    </w:p>
    <w:p w14:paraId="28164A46" w14:textId="45D54288"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programmazione del personale;</w:t>
      </w:r>
    </w:p>
    <w:p w14:paraId="51BADFCD" w14:textId="7EE7CA95"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programmazione degli incarichi professionali, di studio e collaborazione;</w:t>
      </w:r>
    </w:p>
    <w:p w14:paraId="4BB76E1F" w14:textId="3AD9966D"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corrette previsioni dei flussi di cassa;</w:t>
      </w:r>
    </w:p>
    <w:p w14:paraId="3CE4A602" w14:textId="0AB1EDA2" w:rsidR="006B11E3"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applicazione dell’eventuale disavanzo;</w:t>
      </w:r>
    </w:p>
    <w:p w14:paraId="3D04BD82" w14:textId="35764E2B" w:rsidR="006636D4" w:rsidRPr="00B20671" w:rsidRDefault="006636D4"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mancata o erronea contabilizzazione dei contributi alla finanza pubblica;</w:t>
      </w:r>
    </w:p>
    <w:p w14:paraId="062AD230" w14:textId="4CB134AA"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a</w:t>
      </w:r>
      <w:r w:rsidR="006B11E3" w:rsidRPr="00B20671">
        <w:rPr>
          <w:rFonts w:ascii="Arial" w:eastAsia="Times New Roman" w:hAnsi="Arial" w:cs="Arial"/>
          <w:i/>
          <w:lang w:eastAsia="it-IT"/>
        </w:rPr>
        <w:t>ltro (specificare</w:t>
      </w:r>
      <w:r w:rsidR="006B11E3" w:rsidRPr="00123ADD">
        <w:rPr>
          <w:rFonts w:ascii="Arial" w:eastAsia="Times New Roman" w:hAnsi="Arial" w:cs="Arial"/>
          <w:i/>
          <w:lang w:eastAsia="it-IT"/>
        </w:rPr>
        <w:t xml:space="preserve"> la tipologia di criticità riscontrata</w:t>
      </w:r>
      <w:r w:rsidR="009A5514">
        <w:rPr>
          <w:rFonts w:ascii="Arial" w:eastAsia="Times New Roman" w:hAnsi="Arial" w:cs="Arial"/>
          <w:i/>
          <w:lang w:eastAsia="it-IT"/>
        </w:rPr>
        <w:t>:</w:t>
      </w:r>
      <w:r w:rsidR="00274B45">
        <w:rPr>
          <w:rFonts w:ascii="Arial" w:eastAsia="Times New Roman" w:hAnsi="Arial" w:cs="Arial"/>
          <w:i/>
          <w:lang w:eastAsia="it-IT"/>
        </w:rPr>
        <w:t xml:space="preserve"> </w:t>
      </w:r>
      <w:r w:rsidR="009A5514">
        <w:rPr>
          <w:rFonts w:ascii="Arial" w:eastAsia="Times New Roman" w:hAnsi="Arial" w:cs="Arial"/>
          <w:i/>
          <w:lang w:eastAsia="it-IT"/>
        </w:rPr>
        <w:t>__</w:t>
      </w:r>
      <w:r w:rsidR="006B11E3" w:rsidRPr="00123ADD">
        <w:rPr>
          <w:rFonts w:ascii="Arial" w:eastAsia="Times New Roman" w:hAnsi="Arial" w:cs="Arial"/>
          <w:i/>
          <w:lang w:eastAsia="it-IT"/>
        </w:rPr>
        <w:t>….</w:t>
      </w:r>
      <w:r w:rsidR="006B11E3" w:rsidRPr="00B20671">
        <w:rPr>
          <w:rFonts w:ascii="Arial" w:eastAsia="Times New Roman" w:hAnsi="Arial" w:cs="Arial"/>
          <w:i/>
          <w:lang w:eastAsia="it-IT"/>
        </w:rPr>
        <w:t>)</w:t>
      </w:r>
    </w:p>
    <w:p w14:paraId="1FBA3021"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p>
    <w:p w14:paraId="56C91961" w14:textId="59620081"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L’Organo di revisione a conclusione delle verifiche esposte nei punti precedenti considera:</w:t>
      </w:r>
    </w:p>
    <w:p w14:paraId="4692CE80"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b/>
          <w:color w:val="000000"/>
          <w:szCs w:val="22"/>
        </w:rPr>
        <w:t>a)</w:t>
      </w:r>
      <w:r>
        <w:rPr>
          <w:rFonts w:ascii="Arial" w:eastAsia="Arial" w:hAnsi="Arial" w:cs="Arial"/>
          <w:color w:val="000000"/>
          <w:szCs w:val="22"/>
        </w:rPr>
        <w:t xml:space="preserve"> </w:t>
      </w:r>
      <w:r>
        <w:rPr>
          <w:rFonts w:ascii="Arial" w:eastAsia="Arial" w:hAnsi="Arial" w:cs="Arial"/>
          <w:b/>
          <w:color w:val="000000"/>
          <w:szCs w:val="22"/>
        </w:rPr>
        <w:t xml:space="preserve">Riguardo alle previsioni di parte corrente </w:t>
      </w:r>
    </w:p>
    <w:p w14:paraId="32079B25"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 xml:space="preserve">1) Congrue le previsioni di spesa ed attendibili le entrate previste sulla base:  </w:t>
      </w:r>
    </w:p>
    <w:p w14:paraId="68D7A00C" w14:textId="387103B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delle previsioni definitive </w:t>
      </w:r>
      <w:r w:rsidRPr="00C76651">
        <w:rPr>
          <w:rFonts w:ascii="Arial" w:eastAsia="Arial" w:hAnsi="Arial" w:cs="Arial"/>
          <w:color w:val="auto"/>
          <w:szCs w:val="22"/>
        </w:rPr>
        <w:t>202</w:t>
      </w:r>
      <w:r w:rsidR="003B53FC">
        <w:rPr>
          <w:rFonts w:ascii="Arial" w:eastAsia="Arial" w:hAnsi="Arial" w:cs="Arial"/>
          <w:color w:val="auto"/>
          <w:szCs w:val="22"/>
        </w:rPr>
        <w:t>5</w:t>
      </w:r>
      <w:r>
        <w:rPr>
          <w:rFonts w:ascii="Arial" w:eastAsia="Arial" w:hAnsi="Arial" w:cs="Arial"/>
          <w:color w:val="000000"/>
          <w:szCs w:val="22"/>
        </w:rPr>
        <w:t xml:space="preserve">; </w:t>
      </w:r>
    </w:p>
    <w:p w14:paraId="3323E2BF"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modalità di quantificazione e aggiornamento del fondo pluriennale vincolato;</w:t>
      </w:r>
    </w:p>
    <w:p w14:paraId="02BE92EE"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di eventuali re-imputazioni di entrata;</w:t>
      </w:r>
    </w:p>
    <w:p w14:paraId="64176A42"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 bilancio delle aziende speciali, consorzi, istituzioni e società partecipate; </w:t>
      </w:r>
    </w:p>
    <w:p w14:paraId="71544FDA"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della valutazione del gettito effettivamente accertabile per i diversi cespiti d’entrata; </w:t>
      </w:r>
    </w:p>
    <w:p w14:paraId="4A8841ED"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riflessi delle decisioni già prese e di quelle da effettuare descritte nel DUP;</w:t>
      </w:r>
    </w:p>
    <w:p w14:paraId="6855F1F1" w14:textId="08A06B0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degli oneri </w:t>
      </w:r>
      <w:r w:rsidR="0035512D">
        <w:rPr>
          <w:rFonts w:ascii="Arial" w:eastAsia="Arial" w:hAnsi="Arial" w:cs="Arial"/>
          <w:color w:val="000000"/>
          <w:szCs w:val="22"/>
        </w:rPr>
        <w:t>di parte corrente derivanti dagli investimenti previsti/effettuati</w:t>
      </w:r>
      <w:r>
        <w:rPr>
          <w:rFonts w:ascii="Arial" w:eastAsia="Arial" w:hAnsi="Arial" w:cs="Arial"/>
          <w:color w:val="000000"/>
          <w:szCs w:val="22"/>
        </w:rPr>
        <w:t>;</w:t>
      </w:r>
    </w:p>
    <w:p w14:paraId="442FAA61"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derivanti dalle assunzioni di prestiti;</w:t>
      </w:r>
    </w:p>
    <w:p w14:paraId="73A8206E" w14:textId="3939DE8B"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 spese disposte da leggi, contratti ed atti che obbligano giuridicamente l’</w:t>
      </w:r>
      <w:r w:rsidR="0016197D">
        <w:rPr>
          <w:rFonts w:ascii="Arial" w:eastAsia="Arial" w:hAnsi="Arial" w:cs="Arial"/>
          <w:color w:val="000000"/>
          <w:szCs w:val="22"/>
        </w:rPr>
        <w:t>E</w:t>
      </w:r>
      <w:r>
        <w:rPr>
          <w:rFonts w:ascii="Arial" w:eastAsia="Arial" w:hAnsi="Arial" w:cs="Arial"/>
          <w:color w:val="000000"/>
          <w:szCs w:val="22"/>
        </w:rPr>
        <w:t>nte;</w:t>
      </w:r>
    </w:p>
    <w:p w14:paraId="13F109F5" w14:textId="3D4052C8"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dalla manovra finanziaria che l’</w:t>
      </w:r>
      <w:r w:rsidR="0016197D">
        <w:rPr>
          <w:rFonts w:ascii="Arial" w:eastAsia="Arial" w:hAnsi="Arial" w:cs="Arial"/>
          <w:color w:val="000000"/>
          <w:szCs w:val="22"/>
        </w:rPr>
        <w:t>E</w:t>
      </w:r>
      <w:r>
        <w:rPr>
          <w:rFonts w:ascii="Arial" w:eastAsia="Arial" w:hAnsi="Arial" w:cs="Arial"/>
          <w:color w:val="000000"/>
          <w:szCs w:val="22"/>
        </w:rPr>
        <w:t>nte ha attuato sulle entrate e sulle spese;</w:t>
      </w:r>
    </w:p>
    <w:p w14:paraId="2117C85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vincoli sulle spese e riduzioni dei trasferimenti erariali;</w:t>
      </w:r>
    </w:p>
    <w:p w14:paraId="286E286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del fondo crediti di dubbia esigibilità;</w:t>
      </w:r>
    </w:p>
    <w:p w14:paraId="25117726"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degli accantonamenti per passività potenziali;</w:t>
      </w:r>
    </w:p>
    <w:p w14:paraId="126DD5DF" w14:textId="77777777" w:rsidR="0059751B"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FF"/>
          <w:sz w:val="20"/>
          <w:szCs w:val="20"/>
        </w:rPr>
      </w:pPr>
      <w:r>
        <w:rPr>
          <w:rFonts w:ascii="Arial" w:eastAsia="Arial" w:hAnsi="Arial" w:cs="Arial"/>
          <w:color w:val="000000"/>
          <w:szCs w:val="22"/>
        </w:rPr>
        <w:t>dei seguenti elementi</w:t>
      </w:r>
      <w:r>
        <w:rPr>
          <w:rFonts w:ascii="Arial" w:eastAsia="Arial" w:hAnsi="Arial" w:cs="Arial"/>
          <w:color w:val="000000"/>
          <w:sz w:val="20"/>
          <w:szCs w:val="20"/>
        </w:rPr>
        <w:t xml:space="preserve"> </w:t>
      </w:r>
      <w:r>
        <w:rPr>
          <w:rFonts w:ascii="Arial" w:eastAsia="Arial" w:hAnsi="Arial" w:cs="Arial"/>
          <w:color w:val="00B0F0"/>
          <w:szCs w:val="22"/>
        </w:rPr>
        <w:t>(</w:t>
      </w:r>
      <w:r>
        <w:rPr>
          <w:rFonts w:ascii="Arial" w:eastAsia="Arial" w:hAnsi="Arial" w:cs="Arial"/>
          <w:i/>
          <w:color w:val="00B0F0"/>
          <w:szCs w:val="22"/>
        </w:rPr>
        <w:t>indicati nella nota integrativa o rilevati dall’Organo di revisione nel suo operato</w:t>
      </w:r>
      <w:r>
        <w:rPr>
          <w:rFonts w:ascii="Arial" w:eastAsia="Arial" w:hAnsi="Arial" w:cs="Arial"/>
          <w:color w:val="00B0F0"/>
          <w:szCs w:val="22"/>
        </w:rPr>
        <w:t>)</w:t>
      </w:r>
      <w:r>
        <w:rPr>
          <w:rFonts w:ascii="Arial" w:eastAsia="Arial" w:hAnsi="Arial" w:cs="Arial"/>
          <w:color w:val="0000FF"/>
          <w:szCs w:val="22"/>
        </w:rPr>
        <w:t>:</w:t>
      </w:r>
      <w:r>
        <w:rPr>
          <w:rFonts w:ascii="Arial" w:eastAsia="Arial" w:hAnsi="Arial" w:cs="Arial"/>
          <w:color w:val="0000FF"/>
          <w:sz w:val="20"/>
          <w:szCs w:val="20"/>
        </w:rPr>
        <w:t xml:space="preserve">  </w:t>
      </w:r>
    </w:p>
    <w:p w14:paraId="2A14C453" w14:textId="3F03F820" w:rsidR="000F434D" w:rsidRDefault="000F434D"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0000FF"/>
          <w:sz w:val="20"/>
          <w:szCs w:val="20"/>
        </w:rPr>
      </w:pPr>
      <w:r>
        <w:rPr>
          <w:rFonts w:ascii="Arial" w:eastAsia="Arial" w:hAnsi="Arial" w:cs="Arial"/>
          <w:color w:val="0000FF"/>
          <w:sz w:val="20"/>
          <w:szCs w:val="20"/>
        </w:rPr>
        <w:t xml:space="preserve">         </w:t>
      </w:r>
    </w:p>
    <w:p w14:paraId="79BC5D9F"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7E8ED7A9"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61021AD5"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4A6082D0" w14:textId="77777777" w:rsidR="000F434D" w:rsidRPr="002633D4"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2633D4">
        <w:rPr>
          <w:rFonts w:ascii="Arial" w:eastAsia="Arial" w:hAnsi="Arial" w:cs="Arial"/>
          <w:i/>
          <w:color w:val="00B0F0"/>
          <w:sz w:val="20"/>
          <w:szCs w:val="20"/>
        </w:rPr>
        <w:t>(oppure)</w:t>
      </w:r>
    </w:p>
    <w:p w14:paraId="28E289B6"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 w:val="20"/>
          <w:szCs w:val="20"/>
        </w:rPr>
        <w:t xml:space="preserve">1.bis) </w:t>
      </w:r>
      <w:r>
        <w:rPr>
          <w:rFonts w:ascii="Arial" w:eastAsia="Arial" w:hAnsi="Arial" w:cs="Arial"/>
          <w:color w:val="000000"/>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14:paraId="781499B7" w14:textId="77777777" w:rsidR="000F434D" w:rsidRPr="00B067CB"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w:t>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spese </w:t>
      </w:r>
    </w:p>
    <w:p w14:paraId="4959F5D8"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12A9E5E0" w14:textId="77777777" w:rsidR="000F434D" w:rsidRDefault="000F434D"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6DD63B7E" w14:textId="4D33CECB"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 xml:space="preserve">1.ter) Che la congruità e l’attendibilità delle seguenti previsioni non è fondata su provvedimenti che consentono di ritenere attendibile l’entrata, mentre la spesa prevista non appare congrua tenendo conto: </w:t>
      </w:r>
    </w:p>
    <w:p w14:paraId="1BD98530" w14:textId="13E22879"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t>delle obbligazioni assunte e da assumere in relazione agli obiettivi stabiliti negli atti di     programmazione dell’</w:t>
      </w:r>
      <w:r w:rsidR="0016197D">
        <w:rPr>
          <w:rFonts w:ascii="Arial" w:eastAsia="Arial" w:hAnsi="Arial" w:cs="Arial"/>
          <w:color w:val="000000"/>
          <w:szCs w:val="22"/>
        </w:rPr>
        <w:t>E</w:t>
      </w:r>
      <w:r w:rsidRPr="00B067CB">
        <w:rPr>
          <w:rFonts w:ascii="Arial" w:eastAsia="Arial" w:hAnsi="Arial" w:cs="Arial"/>
          <w:color w:val="000000"/>
          <w:szCs w:val="22"/>
        </w:rPr>
        <w:t>nte;</w:t>
      </w:r>
    </w:p>
    <w:p w14:paraId="02D75384" w14:textId="108B7D4B"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o ricapitalizzare i seguenti organismi partecipati …….;</w:t>
      </w:r>
    </w:p>
    <w:p w14:paraId="19AB9099" w14:textId="692A9B20"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aumentare il fondo crediti di dubbia esigibilità in relazione all’andamento storico degli accertamenti inesigibili;</w:t>
      </w:r>
    </w:p>
    <w:p w14:paraId="64E2CCA2" w14:textId="5BA47E49"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debiti fuori bilancio o passività potenziali probabili.</w:t>
      </w:r>
    </w:p>
    <w:p w14:paraId="1D6AFAE8" w14:textId="77777777" w:rsid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 xml:space="preserve">per cui si invita il Consiglio a adottare le misure correttive o i provvedimenti di seguito indicati:  </w:t>
      </w:r>
    </w:p>
    <w:p w14:paraId="2C28523A" w14:textId="77777777" w:rsidR="00B067CB" w:rsidRDefault="00B067CB" w:rsidP="00B067CB">
      <w:pPr>
        <w:pBdr>
          <w:top w:val="single" w:sz="4" w:space="1" w:color="auto"/>
          <w:left w:val="single" w:sz="4" w:space="0" w:color="auto"/>
          <w:bottom w:val="single" w:sz="4" w:space="1" w:color="auto"/>
          <w:right w:val="single" w:sz="4" w:space="4" w:color="auto"/>
        </w:pBdr>
        <w:tabs>
          <w:tab w:val="left" w:pos="4820"/>
        </w:tabs>
        <w:spacing w:line="240" w:lineRule="auto"/>
        <w:ind w:hanging="2"/>
        <w:rPr>
          <w:rFonts w:ascii="Arial" w:eastAsia="Arial" w:hAnsi="Arial" w:cs="Arial"/>
          <w:color w:val="000000"/>
          <w:szCs w:val="22"/>
        </w:rPr>
      </w:pPr>
    </w:p>
    <w:p w14:paraId="21E73A89" w14:textId="77777777"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inattendibili</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spese non congrue</w:t>
      </w:r>
    </w:p>
    <w:p w14:paraId="3EBD6DD7" w14:textId="77777777" w:rsid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498594D2" w14:textId="77777777" w:rsidR="000F434D" w:rsidRPr="005E0A33"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B0F0"/>
          <w:szCs w:val="22"/>
        </w:rPr>
      </w:pPr>
      <w:r w:rsidRPr="005E0A33">
        <w:rPr>
          <w:rFonts w:ascii="Arial" w:eastAsia="Arial" w:hAnsi="Arial" w:cs="Arial"/>
          <w:i/>
          <w:color w:val="00B0F0"/>
          <w:szCs w:val="22"/>
        </w:rPr>
        <w:t>(</w:t>
      </w:r>
      <w:r w:rsidRPr="00123ADD">
        <w:rPr>
          <w:rFonts w:ascii="Arial" w:eastAsia="Arial" w:hAnsi="Arial" w:cs="Arial"/>
          <w:b/>
          <w:bCs/>
          <w:i/>
          <w:color w:val="00B0F0"/>
          <w:szCs w:val="22"/>
        </w:rPr>
        <w:t>N.B.</w:t>
      </w:r>
      <w:r w:rsidRPr="005E0A33">
        <w:rPr>
          <w:rFonts w:ascii="Arial" w:eastAsia="Arial" w:hAnsi="Arial" w:cs="Arial"/>
          <w:i/>
          <w:color w:val="00B0F0"/>
          <w:szCs w:val="22"/>
        </w:rPr>
        <w:t xml:space="preserve"> Suggerire le modalità tecniche e le misure da adottarsi con urgenza, per assicurare gli equilibri previsionali o gestionali, quali ad esempio:</w:t>
      </w:r>
    </w:p>
    <w:p w14:paraId="24AB0A71"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entrate, atti deliberativi di determinazione aliquote, tariffe, canoni ecc., atti d’indirizzo per azioni di recupero di gettito e comunque da riportare a ragionevole certezza la previsione;</w:t>
      </w:r>
    </w:p>
    <w:p w14:paraId="50BC55D6"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14:paraId="6435C2D7"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7D80929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b) Riguardo alle previsioni per investimenti</w:t>
      </w:r>
    </w:p>
    <w:p w14:paraId="411CE83A" w14:textId="57AE66A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Conforme la previsione dei mezzi di copertura finanziaria e delle spese per investimenti, compres</w:t>
      </w:r>
      <w:r w:rsidR="0035512D">
        <w:rPr>
          <w:rFonts w:ascii="Arial" w:eastAsia="Arial" w:hAnsi="Arial" w:cs="Arial"/>
          <w:color w:val="000000"/>
          <w:szCs w:val="22"/>
        </w:rPr>
        <w:t>i</w:t>
      </w:r>
      <w:r>
        <w:rPr>
          <w:rFonts w:ascii="Arial" w:eastAsia="Arial" w:hAnsi="Arial" w:cs="Arial"/>
          <w:color w:val="000000"/>
          <w:szCs w:val="22"/>
        </w:rPr>
        <w:t xml:space="preserve"> la modalità di quantificazione e </w:t>
      </w:r>
      <w:r w:rsidR="0035512D">
        <w:rPr>
          <w:rFonts w:ascii="Arial" w:eastAsia="Arial" w:hAnsi="Arial" w:cs="Arial"/>
          <w:color w:val="000000"/>
          <w:szCs w:val="22"/>
        </w:rPr>
        <w:t>l’</w:t>
      </w:r>
      <w:r>
        <w:rPr>
          <w:rFonts w:ascii="Arial" w:eastAsia="Arial" w:hAnsi="Arial" w:cs="Arial"/>
          <w:color w:val="000000"/>
          <w:szCs w:val="22"/>
        </w:rPr>
        <w:t>aggiornamento del fondo pluriennale vincolato e le re-imputazioni di entrata, all’elenco annuale degli interventi ed al programma triennale dei lavori pubblici, allegati al bilancio.</w:t>
      </w:r>
      <w:r w:rsidR="0035512D" w:rsidRPr="0035512D">
        <w:rPr>
          <w:rFonts w:ascii="Arial" w:eastAsia="Arial" w:hAnsi="Arial" w:cs="Arial"/>
          <w:i/>
          <w:iCs/>
          <w:color w:val="00B0F0"/>
          <w:szCs w:val="22"/>
        </w:rPr>
        <w:t xml:space="preserve"> </w:t>
      </w:r>
    </w:p>
    <w:p w14:paraId="0D05C93F" w14:textId="0325E58B"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lastRenderedPageBreak/>
        <w:t xml:space="preserve">Coerente la previsione di spesa per investimenti con </w:t>
      </w:r>
      <w:r w:rsidR="00920B00">
        <w:rPr>
          <w:rFonts w:ascii="Arial" w:eastAsia="Arial" w:hAnsi="Arial" w:cs="Arial"/>
          <w:color w:val="auto"/>
          <w:szCs w:val="22"/>
        </w:rPr>
        <w:t>le linee</w:t>
      </w:r>
      <w:r w:rsidRPr="00BE32C7">
        <w:rPr>
          <w:rFonts w:ascii="Arial" w:eastAsia="Arial" w:hAnsi="Arial" w:cs="Arial"/>
          <w:color w:val="auto"/>
          <w:szCs w:val="22"/>
        </w:rPr>
        <w:t xml:space="preserve"> programma</w:t>
      </w:r>
      <w:r w:rsidR="00920B00">
        <w:rPr>
          <w:rFonts w:ascii="Arial" w:eastAsia="Arial" w:hAnsi="Arial" w:cs="Arial"/>
          <w:color w:val="auto"/>
          <w:szCs w:val="22"/>
        </w:rPr>
        <w:t>tiche</w:t>
      </w:r>
      <w:r w:rsidRPr="00BE32C7">
        <w:rPr>
          <w:rFonts w:ascii="Arial" w:eastAsia="Arial" w:hAnsi="Arial" w:cs="Arial"/>
          <w:color w:val="auto"/>
          <w:szCs w:val="22"/>
        </w:rPr>
        <w:t xml:space="preserve"> </w:t>
      </w:r>
      <w:r w:rsidR="00920B00">
        <w:rPr>
          <w:rFonts w:ascii="Arial" w:eastAsia="Arial" w:hAnsi="Arial" w:cs="Arial"/>
          <w:color w:val="auto"/>
          <w:szCs w:val="22"/>
        </w:rPr>
        <w:t>di mandato,</w:t>
      </w:r>
      <w:r w:rsidRPr="00BE32C7">
        <w:rPr>
          <w:rFonts w:ascii="Arial" w:eastAsia="Arial" w:hAnsi="Arial" w:cs="Arial"/>
          <w:color w:val="auto"/>
          <w:szCs w:val="22"/>
        </w:rPr>
        <w:t xml:space="preserve"> il DUP, il piano triennale dei lavori pubblici e il crono programma dei SAL e degli obiettivi del PNRR, ritenendo che la realizzazione degli interventi previsti sarà possibile a condizione che siano concretamente reperiti, in particolare</w:t>
      </w:r>
      <w:r w:rsidR="004938F9">
        <w:rPr>
          <w:rFonts w:ascii="Arial" w:eastAsia="Arial" w:hAnsi="Arial" w:cs="Arial"/>
          <w:color w:val="auto"/>
          <w:szCs w:val="22"/>
        </w:rPr>
        <w:t>,</w:t>
      </w:r>
      <w:r w:rsidRPr="00BE32C7">
        <w:rPr>
          <w:rFonts w:ascii="Arial" w:eastAsia="Arial" w:hAnsi="Arial" w:cs="Arial"/>
          <w:color w:val="auto"/>
          <w:szCs w:val="22"/>
        </w:rPr>
        <w:t xml:space="preserve"> i seguenti finanziamenti:</w:t>
      </w:r>
      <w:r w:rsidR="00BB2601">
        <w:rPr>
          <w:rFonts w:ascii="Arial" w:eastAsia="Arial" w:hAnsi="Arial" w:cs="Arial"/>
          <w:color w:val="auto"/>
          <w:szCs w:val="22"/>
        </w:rPr>
        <w:t xml:space="preserve"> </w:t>
      </w:r>
      <w:r w:rsidRPr="00BE32C7">
        <w:rPr>
          <w:rFonts w:ascii="Arial" w:eastAsia="Arial" w:hAnsi="Arial" w:cs="Arial"/>
          <w:color w:val="auto"/>
          <w:szCs w:val="22"/>
        </w:rPr>
        <w:t>…………………………</w:t>
      </w:r>
    </w:p>
    <w:p w14:paraId="3378CEE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c) Riguardo alle previsioni di cassa</w:t>
      </w:r>
    </w:p>
    <w:p w14:paraId="6C84B751" w14:textId="66D812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 previsioni di cassa sono attendibili in relazione all’esigibilità dei residui attivi e delle entrate di competenza, tenuto conto della media degli incassi degli ultimi </w:t>
      </w:r>
      <w:r w:rsidR="00BA11B2">
        <w:rPr>
          <w:rFonts w:ascii="Arial" w:eastAsia="Arial" w:hAnsi="Arial" w:cs="Arial"/>
          <w:color w:val="000000"/>
          <w:szCs w:val="22"/>
        </w:rPr>
        <w:t>cinque</w:t>
      </w:r>
      <w:r>
        <w:rPr>
          <w:rFonts w:ascii="Arial" w:eastAsia="Arial" w:hAnsi="Arial" w:cs="Arial"/>
          <w:color w:val="000000"/>
          <w:szCs w:val="22"/>
        </w:rPr>
        <w:t xml:space="preserve"> anni, e congrue in relazione al rispetto dei termini di pagamento con riferimento ai cronoprogrammi </w:t>
      </w:r>
      <w:r w:rsidR="00A138CB">
        <w:rPr>
          <w:rFonts w:ascii="Arial" w:eastAsia="Arial" w:hAnsi="Arial" w:cs="Arial"/>
          <w:color w:val="000000"/>
          <w:szCs w:val="22"/>
        </w:rPr>
        <w:t xml:space="preserve">(soprattutto quelli dei progetti del PNRR) </w:t>
      </w:r>
      <w:r>
        <w:rPr>
          <w:rFonts w:ascii="Arial" w:eastAsia="Arial" w:hAnsi="Arial" w:cs="Arial"/>
          <w:color w:val="000000"/>
          <w:szCs w:val="22"/>
        </w:rPr>
        <w:t>e alle scadenze di legge e agli accantonamenti al FCDE.</w:t>
      </w:r>
    </w:p>
    <w:p w14:paraId="665A1D26" w14:textId="77777777" w:rsidR="000F434D" w:rsidRPr="002633D4"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2A1D1E50"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cassa dovranno essere verificate in sede di salvaguardia degli equilibri in particolare per i seguenti incassi e pagamenti………………………….</w:t>
      </w:r>
    </w:p>
    <w:p w14:paraId="3A209EE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07DEF53" w14:textId="77777777" w:rsidR="000F434D" w:rsidRDefault="000F434D" w:rsidP="000F434D">
      <w:pPr>
        <w:pBdr>
          <w:top w:val="nil"/>
          <w:left w:val="nil"/>
          <w:bottom w:val="nil"/>
          <w:right w:val="nil"/>
          <w:between w:val="nil"/>
        </w:pBdr>
        <w:spacing w:line="240" w:lineRule="auto"/>
        <w:ind w:hanging="2"/>
        <w:rPr>
          <w:rFonts w:ascii="Arial" w:eastAsia="Arial" w:hAnsi="Arial" w:cs="Arial"/>
          <w:b/>
          <w:color w:val="000000"/>
          <w:szCs w:val="22"/>
        </w:rPr>
      </w:pPr>
      <w:r>
        <w:rPr>
          <w:rFonts w:ascii="Arial" w:eastAsia="Arial" w:hAnsi="Arial" w:cs="Arial"/>
          <w:b/>
          <w:color w:val="000000"/>
          <w:szCs w:val="22"/>
        </w:rPr>
        <w:t>d) Riguardo agli accantonamenti</w:t>
      </w:r>
    </w:p>
    <w:p w14:paraId="1E1EF4B1" w14:textId="344E8FF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Congrui gli stanziamenti della missione 20 come evidenziata nell’apposita sezione.</w:t>
      </w:r>
    </w:p>
    <w:p w14:paraId="249DF05C"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 w:val="20"/>
          <w:szCs w:val="20"/>
        </w:rPr>
      </w:pPr>
      <w:r w:rsidRPr="002633D4">
        <w:rPr>
          <w:rFonts w:ascii="Arial" w:eastAsia="Arial" w:hAnsi="Arial" w:cs="Arial"/>
          <w:i/>
          <w:color w:val="00B0F0"/>
          <w:sz w:val="20"/>
          <w:szCs w:val="20"/>
        </w:rPr>
        <w:t>(oppure)</w:t>
      </w:r>
      <w:r>
        <w:rPr>
          <w:rFonts w:ascii="Arial" w:eastAsia="Arial" w:hAnsi="Arial" w:cs="Arial"/>
          <w:i/>
          <w:color w:val="000000"/>
          <w:sz w:val="20"/>
          <w:szCs w:val="20"/>
        </w:rPr>
        <w:t xml:space="preserve"> </w:t>
      </w:r>
    </w:p>
    <w:p w14:paraId="5A1ACCE4"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Gli stanziamenti dovranno essere integrati o previsti, in particolare per………………………….</w:t>
      </w:r>
    </w:p>
    <w:p w14:paraId="3378BAC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e) Invio dati alla banca dati delle amministrazioni pubbliche</w:t>
      </w:r>
    </w:p>
    <w:p w14:paraId="19B33B09" w14:textId="185557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richiede il rispetto dei termini per l’invio dei dati relativi al bilancio di previsione entro trenta giorni dal termine ultimo per l’approvazione alla banca dati delle amministrazioni pubbliche di cui all’articolo 13 della Legge 31 dicembre 2009, n. 196, compresi i dati aggregati per voce del piano dei conti integrato, avvertendo che nel caso di mancato rispetto di tale termine, come disposto dal comma 1-</w:t>
      </w:r>
      <w:r>
        <w:rPr>
          <w:rFonts w:ascii="Arial" w:eastAsia="Arial" w:hAnsi="Arial" w:cs="Arial"/>
          <w:i/>
          <w:color w:val="000000"/>
          <w:szCs w:val="22"/>
        </w:rPr>
        <w:t xml:space="preserve">quinquies </w:t>
      </w:r>
      <w:r>
        <w:rPr>
          <w:rFonts w:ascii="Arial" w:eastAsia="Arial" w:hAnsi="Arial" w:cs="Arial"/>
          <w:color w:val="000000"/>
          <w:szCs w:val="22"/>
        </w:rPr>
        <w:t xml:space="preserve">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w:t>
      </w:r>
      <w:r w:rsidR="00160626">
        <w:rPr>
          <w:rFonts w:ascii="Arial" w:eastAsia="Arial" w:hAnsi="Arial" w:cs="Arial"/>
          <w:color w:val="000000"/>
          <w:szCs w:val="22"/>
        </w:rPr>
        <w:t>È</w:t>
      </w:r>
      <w:r>
        <w:rPr>
          <w:rFonts w:ascii="Arial" w:eastAsia="Arial" w:hAnsi="Arial" w:cs="Arial"/>
          <w:color w:val="000000"/>
          <w:szCs w:val="22"/>
        </w:rPr>
        <w:t xml:space="preserve"> fatto altresì divieto di stipulare contratti di servizio con soggetti privati che si configurino come elusivi della disposizione del precedente periodo. </w:t>
      </w:r>
    </w:p>
    <w:p w14:paraId="235CABDD" w14:textId="236CB139" w:rsidR="00583C01" w:rsidRDefault="00583C01" w:rsidP="00583C01">
      <w:pPr>
        <w:pStyle w:val="Titolo1"/>
        <w:numPr>
          <w:ilvl w:val="0"/>
          <w:numId w:val="0"/>
        </w:numPr>
        <w:ind w:left="357" w:hanging="357"/>
        <w:rPr>
          <w:rFonts w:ascii="Arial" w:eastAsia="Arial" w:hAnsi="Arial" w:cs="Arial"/>
          <w:color w:val="FF0000"/>
          <w:szCs w:val="22"/>
        </w:rPr>
      </w:pPr>
      <w:bookmarkStart w:id="83" w:name="_Toc219808188"/>
      <w:r>
        <w:t>13</w:t>
      </w:r>
      <w:r w:rsidRPr="00867831">
        <w:t>.</w:t>
      </w:r>
      <w:r>
        <w:t xml:space="preserve"> CONCLUSIONI</w:t>
      </w:r>
      <w:bookmarkEnd w:id="83"/>
    </w:p>
    <w:p w14:paraId="0C034CA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relazione alle motivazioni specificate nel presente parere, richiamato l’articolo 239 del TUEL e tenuto conto:</w:t>
      </w:r>
    </w:p>
    <w:p w14:paraId="75A0C46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sul DUP e sulla Nota di aggiornamento;</w:t>
      </w:r>
    </w:p>
    <w:p w14:paraId="339CDCB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dal responsabile del servizio finanziario;</w:t>
      </w:r>
    </w:p>
    <w:p w14:paraId="23CD6022" w14:textId="3B952E7A"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delle variazioni rispetto all’anno precedente</w:t>
      </w:r>
      <w:r w:rsidR="00395B39">
        <w:rPr>
          <w:rFonts w:ascii="Arial" w:eastAsia="Arial" w:hAnsi="Arial" w:cs="Arial"/>
          <w:color w:val="000000"/>
          <w:szCs w:val="22"/>
        </w:rPr>
        <w:t xml:space="preserve"> e all’ultimo rendiconto approvato</w:t>
      </w:r>
      <w:r>
        <w:rPr>
          <w:rFonts w:ascii="Arial" w:eastAsia="Arial" w:hAnsi="Arial" w:cs="Arial"/>
          <w:color w:val="000000"/>
          <w:szCs w:val="22"/>
        </w:rPr>
        <w:t>;</w:t>
      </w:r>
    </w:p>
    <w:p w14:paraId="18EDBC8A"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verifica effettuata sugli equilibri di competenza e di cassa.</w:t>
      </w:r>
    </w:p>
    <w:p w14:paraId="7366B8D8" w14:textId="77777777" w:rsidR="000F434D" w:rsidRDefault="000F434D" w:rsidP="000F434D">
      <w:pPr>
        <w:widowControl w:val="0"/>
        <w:pBdr>
          <w:top w:val="nil"/>
          <w:left w:val="nil"/>
          <w:bottom w:val="nil"/>
          <w:right w:val="nil"/>
          <w:between w:val="nil"/>
        </w:pBdr>
        <w:spacing w:before="240" w:after="120" w:line="240" w:lineRule="auto"/>
        <w:ind w:hanging="2"/>
        <w:rPr>
          <w:rFonts w:ascii="Arial" w:eastAsia="Arial" w:hAnsi="Arial" w:cs="Arial"/>
          <w:color w:val="000000"/>
          <w:szCs w:val="22"/>
        </w:rPr>
      </w:pPr>
      <w:r>
        <w:rPr>
          <w:rFonts w:ascii="Arial" w:eastAsia="Arial" w:hAnsi="Arial" w:cs="Arial"/>
          <w:color w:val="000000"/>
          <w:szCs w:val="22"/>
        </w:rPr>
        <w:t>L’Organo di revisione:</w:t>
      </w:r>
    </w:p>
    <w:p w14:paraId="46CE37F2" w14:textId="77777777" w:rsidR="000F434D" w:rsidRDefault="000F434D">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lastRenderedPageBreak/>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14:paraId="704513F4" w14:textId="77777777" w:rsidR="000F434D" w:rsidRDefault="000F434D">
      <w:pPr>
        <w:widowControl w:val="0"/>
        <w:numPr>
          <w:ilvl w:val="0"/>
          <w:numId w:val="12"/>
        </w:numPr>
        <w:pBdr>
          <w:top w:val="nil"/>
          <w:left w:val="nil"/>
          <w:bottom w:val="nil"/>
          <w:right w:val="nil"/>
          <w:between w:val="nil"/>
        </w:pBdr>
        <w:suppressAutoHyphens/>
        <w:spacing w:before="120"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rilevato la coerenza interna, la congruità e l’attendibilità contabile delle previsioni di bilancio;</w:t>
      </w:r>
    </w:p>
    <w:p w14:paraId="251B7E10" w14:textId="14AB3270"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ed esprime, pertanto, parere favorevole sulla proposta di bilancio di previsione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sui documenti allegati.</w:t>
      </w:r>
    </w:p>
    <w:p w14:paraId="2AC0008F"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Cs w:val="22"/>
        </w:rPr>
      </w:pPr>
      <w:r>
        <w:rPr>
          <w:rFonts w:ascii="Arial" w:eastAsia="Arial" w:hAnsi="Arial" w:cs="Arial"/>
          <w:color w:val="00B0F0"/>
          <w:szCs w:val="22"/>
        </w:rPr>
        <w:t>(</w:t>
      </w:r>
      <w:r>
        <w:rPr>
          <w:rFonts w:ascii="Arial" w:eastAsia="Arial" w:hAnsi="Arial" w:cs="Arial"/>
          <w:i/>
          <w:color w:val="00B0F0"/>
          <w:szCs w:val="22"/>
        </w:rPr>
        <w:t>Nel caso in cui non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gli equilibri di finanza pubblica il parere può essere così articolato</w:t>
      </w:r>
      <w:r>
        <w:rPr>
          <w:rFonts w:ascii="Arial" w:eastAsia="Arial" w:hAnsi="Arial" w:cs="Arial"/>
          <w:color w:val="00B0F0"/>
          <w:szCs w:val="22"/>
        </w:rPr>
        <w:t>)</w:t>
      </w:r>
    </w:p>
    <w:p w14:paraId="22E23223"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 w:val="20"/>
          <w:szCs w:val="20"/>
        </w:rPr>
      </w:pPr>
    </w:p>
    <w:p w14:paraId="5AAA276E"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1</w:t>
      </w:r>
    </w:p>
    <w:p w14:paraId="3705E7F2" w14:textId="1EF10F85" w:rsidR="000F434D" w:rsidRDefault="000F434D" w:rsidP="00583C01">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Pr>
          <w:rFonts w:ascii="Arial" w:eastAsia="Arial" w:hAnsi="Arial" w:cs="Arial"/>
          <w:i/>
          <w:color w:val="000000"/>
          <w:sz w:val="20"/>
          <w:szCs w:val="20"/>
        </w:rPr>
        <w:tab/>
      </w:r>
      <w:r>
        <w:rPr>
          <w:rFonts w:ascii="Arial" w:eastAsia="Arial" w:hAnsi="Arial" w:cs="Arial"/>
          <w:color w:val="000000"/>
          <w:szCs w:val="22"/>
        </w:rPr>
        <w:t>L’Organo di revisione esprime parere favorevole sulla proposta di bilancio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relativi allegati relativamente a:</w:t>
      </w:r>
    </w:p>
    <w:p w14:paraId="44602406" w14:textId="56E54773" w:rsidR="00015CB0" w:rsidRP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-osservanza delle norme di Legge, dello statuto dell’</w:t>
      </w:r>
      <w:r w:rsidR="0016197D">
        <w:rPr>
          <w:rFonts w:ascii="Arial" w:eastAsia="Arial" w:hAnsi="Arial" w:cs="Arial"/>
          <w:color w:val="000000"/>
          <w:szCs w:val="22"/>
        </w:rPr>
        <w:t>E</w:t>
      </w:r>
      <w:r w:rsidRPr="00015CB0">
        <w:rPr>
          <w:rFonts w:ascii="Arial" w:eastAsia="Arial" w:hAnsi="Arial" w:cs="Arial"/>
          <w:color w:val="000000"/>
          <w:szCs w:val="22"/>
        </w:rPr>
        <w:t>nte, del regolamento di contabilità, dei principi previsti dall’articolo 162 del TUEL e dalle norme del D.lgs.</w:t>
      </w:r>
      <w:r w:rsidR="008102EA">
        <w:rPr>
          <w:rFonts w:ascii="Arial" w:eastAsia="Arial" w:hAnsi="Arial" w:cs="Arial"/>
          <w:color w:val="000000"/>
          <w:szCs w:val="22"/>
        </w:rPr>
        <w:t xml:space="preserve"> </w:t>
      </w:r>
      <w:r w:rsidRPr="00015CB0">
        <w:rPr>
          <w:rFonts w:ascii="Arial" w:eastAsia="Arial" w:hAnsi="Arial" w:cs="Arial"/>
          <w:color w:val="000000"/>
          <w:szCs w:val="22"/>
        </w:rPr>
        <w:t xml:space="preserve">n.118/2001 e dai principi contabili applicati n.4/1 e 4/2 allegati al </w:t>
      </w:r>
      <w:r w:rsidR="00A25799">
        <w:rPr>
          <w:rFonts w:ascii="Arial" w:eastAsia="Arial" w:hAnsi="Arial" w:cs="Arial"/>
          <w:color w:val="000000"/>
          <w:szCs w:val="22"/>
        </w:rPr>
        <w:t>D.lgs.</w:t>
      </w:r>
      <w:r w:rsidR="008102EA">
        <w:rPr>
          <w:rFonts w:ascii="Arial" w:eastAsia="Arial" w:hAnsi="Arial" w:cs="Arial"/>
          <w:color w:val="000000"/>
          <w:szCs w:val="22"/>
        </w:rPr>
        <w:t xml:space="preserve"> n.</w:t>
      </w:r>
      <w:r w:rsidR="00A25799">
        <w:rPr>
          <w:rFonts w:ascii="Arial" w:eastAsia="Arial" w:hAnsi="Arial" w:cs="Arial"/>
          <w:color w:val="000000"/>
          <w:szCs w:val="22"/>
        </w:rPr>
        <w:t>118/20</w:t>
      </w:r>
      <w:r w:rsidR="008102EA">
        <w:rPr>
          <w:rFonts w:ascii="Arial" w:eastAsia="Arial" w:hAnsi="Arial" w:cs="Arial"/>
          <w:color w:val="000000"/>
          <w:szCs w:val="22"/>
        </w:rPr>
        <w:t>1</w:t>
      </w:r>
      <w:r w:rsidR="00A25799">
        <w:rPr>
          <w:rFonts w:ascii="Arial" w:eastAsia="Arial" w:hAnsi="Arial" w:cs="Arial"/>
          <w:color w:val="000000"/>
          <w:szCs w:val="22"/>
        </w:rPr>
        <w:t>1</w:t>
      </w:r>
      <w:r w:rsidRPr="00015CB0">
        <w:rPr>
          <w:rFonts w:ascii="Arial" w:eastAsia="Arial" w:hAnsi="Arial" w:cs="Arial"/>
          <w:color w:val="000000"/>
          <w:szCs w:val="22"/>
        </w:rPr>
        <w:t>;</w:t>
      </w:r>
    </w:p>
    <w:p w14:paraId="7B4DD498" w14:textId="16143A74" w:rsid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-coerenza interna, congruità e attendibilità contabile delle previsioni di bilancio e dei programmi e progetti</w:t>
      </w:r>
      <w:r>
        <w:rPr>
          <w:rFonts w:ascii="Arial" w:eastAsia="Arial" w:hAnsi="Arial" w:cs="Arial"/>
          <w:color w:val="000000"/>
          <w:szCs w:val="22"/>
        </w:rPr>
        <w:t>;</w:t>
      </w:r>
    </w:p>
    <w:p w14:paraId="238D58C9" w14:textId="703066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e parere non favorevole relativamente ai seguenti aspetti: ________________________</w:t>
      </w:r>
    </w:p>
    <w:p w14:paraId="0E247EAA" w14:textId="77777777" w:rsidR="00493F67" w:rsidRDefault="00493F67"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4130D748"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2</w:t>
      </w:r>
    </w:p>
    <w:p w14:paraId="1D5F6AA5" w14:textId="5E4AC3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r>
        <w:rPr>
          <w:rFonts w:ascii="Arial" w:eastAsia="Arial" w:hAnsi="Arial" w:cs="Arial"/>
          <w:color w:val="000000"/>
          <w:szCs w:val="22"/>
        </w:rPr>
        <w:t>L’Organo di revisione esprime parere non favorevole sulla proposta di bilancio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relativi allegati</w:t>
      </w:r>
      <w:r w:rsidR="00A25799">
        <w:rPr>
          <w:rFonts w:ascii="Arial" w:eastAsia="Arial" w:hAnsi="Arial" w:cs="Arial"/>
          <w:color w:val="000000"/>
          <w:szCs w:val="22"/>
        </w:rPr>
        <w:t>.</w:t>
      </w:r>
    </w:p>
    <w:p w14:paraId="708AF782"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p>
    <w:p w14:paraId="1E461F94" w14:textId="77777777" w:rsidR="000F434D" w:rsidRDefault="000F434D" w:rsidP="000F434D">
      <w:pPr>
        <w:pBdr>
          <w:top w:val="nil"/>
          <w:left w:val="nil"/>
          <w:bottom w:val="nil"/>
          <w:right w:val="nil"/>
          <w:between w:val="nil"/>
        </w:pBdr>
        <w:tabs>
          <w:tab w:val="left" w:pos="5954"/>
        </w:tabs>
        <w:spacing w:line="240" w:lineRule="auto"/>
        <w:ind w:hanging="2"/>
        <w:rPr>
          <w:rFonts w:ascii="Arial" w:eastAsia="Arial" w:hAnsi="Arial" w:cs="Arial"/>
          <w:color w:val="000000"/>
        </w:rPr>
      </w:pPr>
    </w:p>
    <w:p w14:paraId="0336333B"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L’ORGANO DI REVISIONE</w:t>
      </w:r>
    </w:p>
    <w:p w14:paraId="51581654"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3B5D81B0"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44561B41" w14:textId="36664318" w:rsidR="00395B39" w:rsidRPr="000F434D" w:rsidRDefault="000F434D" w:rsidP="00C94F1E">
      <w:pPr>
        <w:pBdr>
          <w:top w:val="nil"/>
          <w:left w:val="nil"/>
          <w:bottom w:val="nil"/>
          <w:right w:val="nil"/>
          <w:between w:val="nil"/>
        </w:pBdr>
        <w:tabs>
          <w:tab w:val="left" w:pos="5954"/>
        </w:tabs>
        <w:spacing w:line="240" w:lineRule="auto"/>
        <w:ind w:hanging="2"/>
        <w:jc w:val="center"/>
        <w:rPr>
          <w:rFonts w:cstheme="minorHAnsi"/>
          <w:color w:val="auto"/>
          <w:szCs w:val="22"/>
        </w:rPr>
      </w:pPr>
      <w:r>
        <w:rPr>
          <w:rFonts w:ascii="Arial" w:eastAsia="Arial" w:hAnsi="Arial" w:cs="Arial"/>
          <w:b/>
          <w:color w:val="000000"/>
        </w:rPr>
        <w:tab/>
        <w:t xml:space="preserve">                           </w:t>
      </w:r>
      <w:r w:rsidR="00015CB0">
        <w:rPr>
          <w:rFonts w:ascii="Arial" w:eastAsia="Arial" w:hAnsi="Arial" w:cs="Arial"/>
          <w:b/>
          <w:color w:val="000000"/>
        </w:rPr>
        <w:t xml:space="preserve">   </w:t>
      </w:r>
      <w:r>
        <w:rPr>
          <w:rFonts w:ascii="Arial" w:eastAsia="Arial" w:hAnsi="Arial" w:cs="Arial"/>
          <w:b/>
          <w:color w:val="000000"/>
        </w:rPr>
        <w:t xml:space="preserve">   ___________________</w:t>
      </w:r>
      <w:r>
        <w:rPr>
          <w:rFonts w:ascii="Arial" w:eastAsia="Arial" w:hAnsi="Arial" w:cs="Arial"/>
          <w:sz w:val="28"/>
          <w:szCs w:val="28"/>
        </w:rPr>
        <w:tab/>
      </w:r>
      <w:r>
        <w:rPr>
          <w:rFonts w:ascii="Arial" w:eastAsia="Arial" w:hAnsi="Arial" w:cs="Arial"/>
          <w:sz w:val="28"/>
          <w:szCs w:val="28"/>
        </w:rPr>
        <w:tab/>
      </w:r>
    </w:p>
    <w:sectPr w:rsidR="00395B39" w:rsidRPr="000F434D" w:rsidSect="00744F31">
      <w:headerReference w:type="first" r:id="rId31"/>
      <w:pgSz w:w="11906" w:h="16838"/>
      <w:pgMar w:top="1985" w:right="1418" w:bottom="1418" w:left="1418" w:header="709" w:footer="48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Anna De Toni" w:date="2026-01-14T12:40:00Z" w:initials="AD">
    <w:p w14:paraId="14A75CFF" w14:textId="77777777" w:rsidR="002B0509" w:rsidRDefault="00F11119" w:rsidP="002B0509">
      <w:pPr>
        <w:pStyle w:val="Testocommento"/>
      </w:pPr>
      <w:r>
        <w:rPr>
          <w:rStyle w:val="Rimandocommento"/>
        </w:rPr>
        <w:annotationRef/>
      </w:r>
      <w:r w:rsidR="002B0509">
        <w:t>Scusatemi ma le novità del comma 660 su fpv ci interessano per riaccertamento e rendiconto giusto? Quindi non inserirei</w:t>
      </w:r>
    </w:p>
  </w:comment>
  <w:comment w:id="24" w:author="Marco Castellani" w:date="2026-01-19T09:45:00Z" w:initials="MC">
    <w:p w14:paraId="0C3CCE4F" w14:textId="77777777" w:rsidR="007E0239" w:rsidRDefault="007E0239" w:rsidP="007E0239">
      <w:pPr>
        <w:pStyle w:val="Testocommento"/>
      </w:pPr>
      <w:r>
        <w:rPr>
          <w:rStyle w:val="Rimandocommento"/>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A75CFF" w15:done="1"/>
  <w15:commentEx w15:paraId="0C3CCE4F" w15:paraIdParent="14A75CF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70F10" w16cex:dateUtc="2026-01-14T11:40:00Z"/>
  <w16cex:commentExtensible w16cex:durableId="73469654" w16cex:dateUtc="2026-01-19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A75CFF" w16cid:durableId="04B70F10"/>
  <w16cid:commentId w16cid:paraId="0C3CCE4F" w16cid:durableId="734696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7C513" w14:textId="77777777" w:rsidR="00FE30C7" w:rsidRDefault="00FE30C7" w:rsidP="00281EF7">
      <w:pPr>
        <w:spacing w:after="0" w:line="240" w:lineRule="auto"/>
      </w:pPr>
      <w:r>
        <w:separator/>
      </w:r>
    </w:p>
  </w:endnote>
  <w:endnote w:type="continuationSeparator" w:id="0">
    <w:p w14:paraId="73B2E500" w14:textId="77777777" w:rsidR="00FE30C7" w:rsidRDefault="00FE30C7"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b/>
        <w:bCs/>
        <w:sz w:val="21"/>
        <w:szCs w:val="20"/>
      </w:rPr>
      <w:id w:val="-1924484311"/>
      <w:docPartObj>
        <w:docPartGallery w:val="Page Numbers (Bottom of Page)"/>
        <w:docPartUnique/>
      </w:docPartObj>
    </w:sdtPr>
    <w:sdtContent>
      <w:p w14:paraId="174C20B6" w14:textId="77777777" w:rsidR="005A7721" w:rsidRPr="008532B5" w:rsidRDefault="005A7721" w:rsidP="005A7721">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20B70C30" w14:textId="484BCD01"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85825216" name="Immagine 85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1766C" w14:textId="77777777" w:rsidR="00FE30C7" w:rsidRDefault="00FE30C7" w:rsidP="00281EF7">
      <w:pPr>
        <w:spacing w:after="0" w:line="240" w:lineRule="auto"/>
      </w:pPr>
      <w:r>
        <w:separator/>
      </w:r>
    </w:p>
  </w:footnote>
  <w:footnote w:type="continuationSeparator" w:id="0">
    <w:p w14:paraId="183F5F9C" w14:textId="77777777" w:rsidR="00FE30C7" w:rsidRDefault="00FE30C7" w:rsidP="00281EF7">
      <w:pPr>
        <w:spacing w:after="0" w:line="240" w:lineRule="auto"/>
      </w:pPr>
      <w:r>
        <w:continuationSeparator/>
      </w:r>
    </w:p>
  </w:footnote>
  <w:footnote w:id="1">
    <w:p w14:paraId="35545B5D" w14:textId="37ACA6CC" w:rsidR="00776DB2" w:rsidRDefault="00776DB2" w:rsidP="00776DB2">
      <w:pPr>
        <w:pStyle w:val="Testonotaapidipagina"/>
      </w:pPr>
      <w:r>
        <w:rPr>
          <w:rStyle w:val="Rimandonotaapidipagina"/>
        </w:rPr>
        <w:footnoteRef/>
      </w:r>
      <w:r>
        <w:t xml:space="preserve"> Si segnala che i</w:t>
      </w:r>
      <w:r w:rsidRPr="00776DB2">
        <w:t>l D.</w:t>
      </w:r>
      <w:r w:rsidR="00A453AC">
        <w:t>l</w:t>
      </w:r>
      <w:r w:rsidRPr="00776DB2">
        <w:t>gs. 118/2011 (armonizzazione contabile) è stato aggiornato</w:t>
      </w:r>
      <w:r>
        <w:t>:</w:t>
      </w:r>
    </w:p>
    <w:p w14:paraId="446B5CDF" w14:textId="681D301E" w:rsidR="00776DB2" w:rsidRDefault="00776DB2" w:rsidP="00776DB2">
      <w:pPr>
        <w:pStyle w:val="Testonotaapidipagina"/>
      </w:pPr>
      <w:r>
        <w:t>-</w:t>
      </w:r>
      <w:r w:rsidRPr="00776DB2">
        <w:t xml:space="preserve"> </w:t>
      </w:r>
      <w:r>
        <w:t xml:space="preserve">con il DM MEF 10 ottobre 2024 che </w:t>
      </w:r>
      <w:r w:rsidR="00A453AC">
        <w:t>ha inserito</w:t>
      </w:r>
      <w:r>
        <w:t xml:space="preserve"> il Programma 11 Interventi per asili nido alla Missione 12 (1211). </w:t>
      </w:r>
      <w:r w:rsidR="00160626">
        <w:t>Inoltre,</w:t>
      </w:r>
      <w:r>
        <w:t xml:space="preserve"> la denominazione del Programma 01 della Missione 12 è sostituita dalla seguente “Interventi per l’infanzia e i minori”;</w:t>
      </w:r>
    </w:p>
    <w:p w14:paraId="0E7A5E57" w14:textId="02B94342" w:rsidR="00776DB2" w:rsidRDefault="00776DB2" w:rsidP="009B653F">
      <w:pPr>
        <w:pStyle w:val="Testonotaapidipagina"/>
      </w:pPr>
      <w:r>
        <w:t xml:space="preserve">- </w:t>
      </w:r>
      <w:r w:rsidRPr="00776DB2">
        <w:t xml:space="preserve">con il DM MEF 6 agosto 2025, che </w:t>
      </w:r>
      <w:r>
        <w:t>ha inserito</w:t>
      </w:r>
      <w:r w:rsidRPr="00776DB2">
        <w:t xml:space="preserve"> nuovi codici e voci nel piano dei conti (es. proventi da energia, acqua, gas, trasferimenti dal GSE) applicabili dal 1° gennaio 2026. Inoltre</w:t>
      </w:r>
      <w:r w:rsidR="00E56FF6">
        <w:t>,</w:t>
      </w:r>
      <w:r w:rsidRPr="00776DB2">
        <w:t xml:space="preserve"> sono state cancellate le seguenti voci: Codice Descrizione voce E.3.01.01.01.004 Proventi da energia, acqua, gas e riscaldamento E.4.04.01.08.014 Alienazione di opere per la sistemazione del suolo. </w:t>
      </w:r>
      <w:r w:rsidR="009B653F">
        <w:t xml:space="preserve"> Sono stati inseriti nuovi</w:t>
      </w:r>
      <w:r>
        <w:t xml:space="preserve"> PF di spesa: U.2.02.01.09.998 Altre infrastrutture n.a.c U.2.02.03.07.000 Altri diritti U.2.02.03.07.001 Altri diritti U.2.02.04.09.998 Altre infrastrutture acquisite mediante operazioni di leasing finanziario n.a.c.. </w:t>
      </w:r>
      <w:r w:rsidR="00160626">
        <w:t>I</w:t>
      </w:r>
      <w:r>
        <w:t>noltre</w:t>
      </w:r>
      <w:r w:rsidR="00160626">
        <w:t>,</w:t>
      </w:r>
      <w:r>
        <w:t xml:space="preserve"> è stata modificata come segue la descrizione della seguente voce: Codice Descrizione voce U.2.02.01.10.002 Fabbricati ad uso commerciale di valore culturale, storico ed artistico.</w:t>
      </w:r>
    </w:p>
  </w:footnote>
  <w:footnote w:id="2">
    <w:p w14:paraId="088AE05F" w14:textId="5FA8C40D" w:rsidR="003B0545" w:rsidRDefault="003B0545" w:rsidP="003B0545">
      <w:pPr>
        <w:pStyle w:val="Testonotaapidipagina"/>
        <w:rPr>
          <w:i/>
          <w:iCs/>
          <w:color w:val="auto"/>
        </w:rPr>
      </w:pPr>
      <w:r w:rsidRPr="00EB1F06">
        <w:rPr>
          <w:rStyle w:val="Rimandonotaapidipagina"/>
          <w:color w:val="auto"/>
        </w:rPr>
        <w:footnoteRef/>
      </w:r>
      <w:r w:rsidRPr="00EB1F06">
        <w:rPr>
          <w:color w:val="auto"/>
        </w:rPr>
        <w:t xml:space="preserve"> Per gli enti in </w:t>
      </w:r>
      <w:r w:rsidRPr="00EB1F06">
        <w:rPr>
          <w:b/>
          <w:bCs/>
          <w:color w:val="auto"/>
        </w:rPr>
        <w:t>piano di riequilibrio</w:t>
      </w:r>
      <w:r w:rsidRPr="00EB1F06">
        <w:rPr>
          <w:color w:val="auto"/>
        </w:rPr>
        <w:t xml:space="preserve"> si segnala la Sentenza della Corte costituzionale n. 224 depositata in data 22 dicembre 2023 che dichiara l’illegittimità del comma 1 dell'art. 43 Decreto-legge n. 133 del 2014 “</w:t>
      </w:r>
      <w:r w:rsidRPr="00EB1F06">
        <w:rPr>
          <w:i/>
          <w:iCs/>
          <w:color w:val="auto"/>
        </w:rPr>
        <w:t xml:space="preserve">nella parte in cui non prevede che l’utilizzo delle risorse agli stessi enti attribuibili a valere sul fondo di rotazione per assicurare la stabilità finanziaria degli enti locali di cui all’art. 243-ter del decreto legislativo 18 agosto 2000, n. 267 (Testo unico delle leggi sull’ordinamento degli enti locali), deve avvenire solo a titolo di cassa” </w:t>
      </w:r>
      <w:r w:rsidR="00A65CF4">
        <w:rPr>
          <w:i/>
          <w:iCs/>
          <w:color w:val="auto"/>
        </w:rPr>
        <w:t>.</w:t>
      </w:r>
    </w:p>
    <w:p w14:paraId="07345FDE" w14:textId="77777777" w:rsidR="00154134" w:rsidRDefault="00A65CF4" w:rsidP="007E0239">
      <w:pPr>
        <w:pStyle w:val="Testonotaapidipagina"/>
        <w:rPr>
          <w:i/>
          <w:iCs/>
          <w:color w:val="auto"/>
        </w:rPr>
      </w:pPr>
      <w:r w:rsidRPr="00C35E20">
        <w:rPr>
          <w:color w:val="auto"/>
        </w:rPr>
        <w:t>Sul tema l’Osservatorio del Ministero dell’Interno ha emanato un atto di indirizzo in data 7 ottobre 2024 che prevede che</w:t>
      </w:r>
      <w:r>
        <w:rPr>
          <w:i/>
          <w:iCs/>
          <w:color w:val="auto"/>
        </w:rPr>
        <w:t>: “</w:t>
      </w:r>
      <w:r w:rsidRPr="00A65CF4">
        <w:rPr>
          <w:i/>
          <w:iCs/>
          <w:color w:val="auto"/>
        </w:rPr>
        <w:t>Per effetto della pronuncia di illegittimità della Corte costituzionale n. 224 del 2023 - che ha configurato le anticipazioni dal “Fondo di rotazione per assicurare la stabilità finanziaria degli enti locali” quali anticipazione di liquidità - le amministrazioni territoriali che abbiano utilizzato dette anticipazioni dal fondo di rotazione non per riallineare nel tempo la cassa degli enti strutturalmente deficitari con la competenza bensì a copertura dei debiti fuori bilancio e per la riduzione del disavanzo, sono tenuti a provvedere ad un graduale risanamento del deficit, facendo ricorso a coperture alternative rispetto a quelle originariamente appostate sulla base dell’art. 43 (ora dichiarato non conforme a Costituzione nei termini indicati dalla citata sentenza n. 224) e, nel frattempo, resesi eventualmente disponibili, in modo, comunque, coerente con l’esigenza di mantenere il livello essenziale delle prestazioni sociali durante l’intero periodo di risanamento. Devono ritenersi interessati alle operazioni di rimodulazione delle risorse di propria competenza quegli enti ancora in procedura di riequilibrio alla data del deposito della sentenza n. 224 del 2023; non anche gli enti per i quali il piano di risanamento del deficit si sia, medio tempore, esaurito (art. 243-quater, comma 6, TUEL).”</w:t>
      </w:r>
    </w:p>
    <w:p w14:paraId="71F1B377" w14:textId="4B847BF8" w:rsidR="00A65CF4" w:rsidRDefault="00154134" w:rsidP="007E0239">
      <w:pPr>
        <w:pStyle w:val="Testonotaapidipagina"/>
        <w:rPr>
          <w:i/>
          <w:iCs/>
          <w:color w:val="auto"/>
        </w:rPr>
      </w:pPr>
      <w:r>
        <w:rPr>
          <w:i/>
          <w:iCs/>
          <w:color w:val="auto"/>
        </w:rPr>
        <w:t>N.B. L’a</w:t>
      </w:r>
      <w:r w:rsidR="007E0239" w:rsidRPr="007E0239">
        <w:rPr>
          <w:i/>
          <w:iCs/>
          <w:color w:val="auto"/>
        </w:rPr>
        <w:t>rt. 1, co. 685-686</w:t>
      </w:r>
      <w:r w:rsidR="007E0239">
        <w:rPr>
          <w:i/>
          <w:iCs/>
          <w:color w:val="auto"/>
        </w:rPr>
        <w:t xml:space="preserve"> </w:t>
      </w:r>
      <w:r>
        <w:rPr>
          <w:i/>
          <w:iCs/>
          <w:color w:val="auto"/>
        </w:rPr>
        <w:t>della Legge di bilancio 2026 interviene sul comma 775 della Legge 207/2024 e dispone per l’anno 2026 un’a</w:t>
      </w:r>
      <w:r w:rsidR="007E0239" w:rsidRPr="007E0239">
        <w:rPr>
          <w:i/>
          <w:iCs/>
          <w:color w:val="auto"/>
        </w:rPr>
        <w:t>nticipazioni fino a</w:t>
      </w:r>
      <w:r>
        <w:rPr>
          <w:i/>
          <w:iCs/>
          <w:color w:val="auto"/>
        </w:rPr>
        <w:t>ll’importo massimo di</w:t>
      </w:r>
      <w:r w:rsidR="007E0239" w:rsidRPr="007E0239">
        <w:rPr>
          <w:i/>
          <w:iCs/>
          <w:color w:val="auto"/>
        </w:rPr>
        <w:t xml:space="preserve"> 50 </w:t>
      </w:r>
      <w:r w:rsidR="009A39B7">
        <w:rPr>
          <w:i/>
          <w:iCs/>
          <w:color w:val="auto"/>
        </w:rPr>
        <w:t xml:space="preserve">milioni </w:t>
      </w:r>
      <w:r w:rsidR="007E0239" w:rsidRPr="007E0239">
        <w:rPr>
          <w:i/>
          <w:iCs/>
          <w:color w:val="auto"/>
        </w:rPr>
        <w:t>per</w:t>
      </w:r>
      <w:r w:rsidR="007E0239">
        <w:rPr>
          <w:i/>
          <w:iCs/>
          <w:color w:val="auto"/>
        </w:rPr>
        <w:t xml:space="preserve"> </w:t>
      </w:r>
      <w:r>
        <w:rPr>
          <w:i/>
          <w:iCs/>
          <w:color w:val="auto"/>
        </w:rPr>
        <w:t xml:space="preserve">gli enti con popolazione inferiore a </w:t>
      </w:r>
      <w:r w:rsidR="007E0239" w:rsidRPr="007E0239">
        <w:rPr>
          <w:i/>
          <w:iCs/>
          <w:color w:val="auto"/>
        </w:rPr>
        <w:t>20.000 abitanti</w:t>
      </w:r>
      <w:r w:rsidR="00516D33">
        <w:rPr>
          <w:i/>
          <w:iCs/>
          <w:color w:val="auto"/>
        </w:rPr>
        <w:t xml:space="preserve"> con possibilità di</w:t>
      </w:r>
      <w:r w:rsidR="007E0239" w:rsidRPr="007E0239">
        <w:rPr>
          <w:i/>
          <w:iCs/>
          <w:color w:val="auto"/>
        </w:rPr>
        <w:t xml:space="preserve"> restituzione</w:t>
      </w:r>
      <w:r w:rsidR="00516D33">
        <w:rPr>
          <w:i/>
          <w:iCs/>
          <w:color w:val="auto"/>
        </w:rPr>
        <w:t xml:space="preserve"> dell’anticipazione in un periodo massimo di</w:t>
      </w:r>
      <w:r w:rsidR="007E0239" w:rsidRPr="007E0239">
        <w:rPr>
          <w:i/>
          <w:iCs/>
          <w:color w:val="auto"/>
        </w:rPr>
        <w:t xml:space="preserve"> 20 anni.</w:t>
      </w:r>
    </w:p>
    <w:p w14:paraId="032BA958" w14:textId="77777777" w:rsidR="007E0239" w:rsidRDefault="007E0239" w:rsidP="003B0545">
      <w:pPr>
        <w:pStyle w:val="Testonotaapidipagina"/>
        <w:rPr>
          <w:i/>
          <w:iCs/>
          <w:color w:val="auto"/>
        </w:rPr>
      </w:pPr>
    </w:p>
    <w:p w14:paraId="4E91FD95" w14:textId="699B31C4" w:rsidR="003B0545" w:rsidRPr="00DB4356" w:rsidRDefault="003B0545" w:rsidP="003B0545">
      <w:pPr>
        <w:pStyle w:val="Testonotaapidipagina"/>
        <w:rPr>
          <w:color w:val="auto"/>
        </w:rPr>
      </w:pPr>
    </w:p>
  </w:footnote>
  <w:footnote w:id="3">
    <w:p w14:paraId="4D00CECF" w14:textId="2CD1B7BD" w:rsidR="00D67B35" w:rsidRPr="00070643" w:rsidRDefault="00D67B35" w:rsidP="007C4606">
      <w:pPr>
        <w:pStyle w:val="Testonotaapidipagina"/>
        <w:rPr>
          <w:color w:val="auto"/>
          <w:highlight w:val="yellow"/>
        </w:rPr>
      </w:pPr>
      <w:r w:rsidRPr="00070643">
        <w:rPr>
          <w:rStyle w:val="Rimandonotaapidipagina"/>
          <w:color w:val="auto"/>
        </w:rPr>
        <w:footnoteRef/>
      </w:r>
      <w:r w:rsidRPr="00070643">
        <w:rPr>
          <w:color w:val="auto"/>
        </w:rPr>
        <w:t xml:space="preserve"> </w:t>
      </w:r>
      <w:r w:rsidRPr="00EF4909">
        <w:rPr>
          <w:color w:val="auto"/>
        </w:rPr>
        <w:t xml:space="preserve">Per quanto riguarda la gestione della cassa vincolata si </w:t>
      </w:r>
      <w:r w:rsidR="007C4606" w:rsidRPr="00EF4909">
        <w:rPr>
          <w:color w:val="auto"/>
        </w:rPr>
        <w:t>fa presente che dal 5 luglio 2024 è in vigore il contenuto dell’</w:t>
      </w:r>
      <w:r w:rsidR="007C4606" w:rsidRPr="007C4606">
        <w:rPr>
          <w:color w:val="auto"/>
        </w:rPr>
        <w:t>articolo 6, comma 6-</w:t>
      </w:r>
      <w:r w:rsidR="007C4606" w:rsidRPr="00E82796">
        <w:rPr>
          <w:i/>
          <w:iCs/>
          <w:color w:val="auto"/>
        </w:rPr>
        <w:t>octies</w:t>
      </w:r>
      <w:r w:rsidR="007C4606" w:rsidRPr="007C4606">
        <w:rPr>
          <w:color w:val="auto"/>
        </w:rPr>
        <w:t xml:space="preserve"> del D</w:t>
      </w:r>
      <w:r w:rsidR="00E82796">
        <w:rPr>
          <w:color w:val="auto"/>
        </w:rPr>
        <w:t>.</w:t>
      </w:r>
      <w:r w:rsidR="007C4606" w:rsidRPr="007C4606">
        <w:rPr>
          <w:color w:val="auto"/>
        </w:rPr>
        <w:t>l</w:t>
      </w:r>
      <w:r w:rsidR="00E82796">
        <w:rPr>
          <w:color w:val="auto"/>
        </w:rPr>
        <w:t>.</w:t>
      </w:r>
      <w:r w:rsidR="007C4606" w:rsidRPr="007C4606">
        <w:rPr>
          <w:color w:val="auto"/>
        </w:rPr>
        <w:t xml:space="preserve"> 60/2024, convertito con Legge n. 95/2024 che va a modificare espressamente alcuni articoli del D</w:t>
      </w:r>
      <w:r w:rsidR="00E82796">
        <w:rPr>
          <w:color w:val="auto"/>
        </w:rPr>
        <w:t>.</w:t>
      </w:r>
      <w:r w:rsidR="007C4606" w:rsidRPr="007C4606">
        <w:rPr>
          <w:color w:val="auto"/>
        </w:rPr>
        <w:t>lgs</w:t>
      </w:r>
      <w:r w:rsidR="00E82796">
        <w:rPr>
          <w:color w:val="auto"/>
        </w:rPr>
        <w:t>.</w:t>
      </w:r>
      <w:r w:rsidR="007C4606" w:rsidRPr="007C4606">
        <w:rPr>
          <w:color w:val="auto"/>
        </w:rPr>
        <w:t xml:space="preserve"> 267/2000, in particolare: l’articolo 180, comma 3, lettera d), in cui sono soppresse le parole: «da legge»; l’articolo 185, comma 2, lettera i) in cui sono soppresse le parole: «stabiliti per legge o»; l’art. 187, comma 3-ter, a cui è aggiunto, in fine, il periodo «Il regime vincolistico di competenza si estende alla cassa solo relativamente alle entrate di cui alle lettere b) e c).</w:t>
      </w:r>
    </w:p>
  </w:footnote>
  <w:footnote w:id="4">
    <w:p w14:paraId="4E6EB9C6" w14:textId="32C274C9" w:rsidR="007C4606" w:rsidRPr="007C4606" w:rsidRDefault="00A7674A" w:rsidP="007C4606">
      <w:pPr>
        <w:pStyle w:val="Testonotaapidipagina"/>
        <w:rPr>
          <w:color w:val="auto"/>
        </w:rPr>
      </w:pPr>
      <w:r w:rsidRPr="00390923">
        <w:rPr>
          <w:rStyle w:val="Rimandonotaapidipagina"/>
          <w:color w:val="auto"/>
        </w:rPr>
        <w:footnoteRef/>
      </w:r>
      <w:r w:rsidRPr="00390923">
        <w:rPr>
          <w:color w:val="auto"/>
        </w:rPr>
        <w:t xml:space="preserve"> </w:t>
      </w:r>
      <w:r w:rsidR="007C4606" w:rsidRPr="007C4606">
        <w:rPr>
          <w:color w:val="auto"/>
        </w:rPr>
        <w:t xml:space="preserve">È stato pubblicato nella G.U. Serie Generale n. 219 del 18 settembre 2024 il decreto 6 settembre 2024 del Vice Ministro dell’economia e delle finanze, che integra il decreto 7 luglio 2023 del Vice Ministro dell’economia e delle finanze, concernente l’”Individuazione delle fattispecie in materia di imposta municipale propria (IMU), in base alle quali i </w:t>
      </w:r>
      <w:r w:rsidR="007C4606">
        <w:rPr>
          <w:color w:val="auto"/>
        </w:rPr>
        <w:t>C</w:t>
      </w:r>
      <w:r w:rsidR="007C4606" w:rsidRPr="007C4606">
        <w:rPr>
          <w:color w:val="auto"/>
        </w:rPr>
        <w:t>omuni possono diversificare le aliquote di cui ai commi da 748 a 755 dell'articolo 1 della legge 27 dicembre 2019, n. 160”, e che riapprova l’Allegato A, il quale sostituisce quello di cui al  precedente decreto.</w:t>
      </w:r>
    </w:p>
    <w:p w14:paraId="5F525CC0" w14:textId="067DD9C3" w:rsidR="00A7674A" w:rsidRPr="00AC783B" w:rsidRDefault="00483AB8" w:rsidP="007C4606">
      <w:pPr>
        <w:pStyle w:val="Testonotaapidipagina"/>
        <w:rPr>
          <w:i/>
          <w:iCs/>
          <w:color w:val="auto"/>
        </w:rPr>
      </w:pPr>
      <w:r>
        <w:rPr>
          <w:color w:val="auto"/>
        </w:rPr>
        <w:t>A</w:t>
      </w:r>
      <w:r w:rsidR="007C4606" w:rsidRPr="007C4606">
        <w:rPr>
          <w:color w:val="auto"/>
        </w:rPr>
        <w:t xml:space="preserve">ll’interno del Portale del federalismo fiscale, </w:t>
      </w:r>
      <w:r>
        <w:rPr>
          <w:color w:val="auto"/>
        </w:rPr>
        <w:t xml:space="preserve">i comuni potranno utilizzare </w:t>
      </w:r>
      <w:r w:rsidR="007C4606" w:rsidRPr="007C4606">
        <w:rPr>
          <w:color w:val="auto"/>
        </w:rPr>
        <w:t xml:space="preserve">l’applicazione informatica attraverso la quale elaborare e trasmettere il Prospetto delle aliquote IMU per l’anno di imposta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4C958688" w14:textId="77777777" w:rsidR="00841C1C" w:rsidRDefault="000F434D"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 xml:space="preserve">Parere dell’organo di revisione sulla proposta di </w:t>
    </w:r>
  </w:p>
  <w:p w14:paraId="63D3FC90" w14:textId="76BA14C7" w:rsidR="000F434D" w:rsidRPr="00841C1C" w:rsidRDefault="00841C1C"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B</w:t>
    </w:r>
    <w:r w:rsidR="000F434D">
      <w:rPr>
        <w:b/>
        <w:bCs/>
        <w:color w:val="595959" w:themeColor="text1" w:themeTint="A6"/>
        <w:sz w:val="18"/>
        <w:szCs w:val="16"/>
      </w:rPr>
      <w:t>ilancio</w:t>
    </w:r>
    <w:r>
      <w:rPr>
        <w:b/>
        <w:bCs/>
        <w:color w:val="595959" w:themeColor="text1" w:themeTint="A6"/>
        <w:sz w:val="18"/>
        <w:szCs w:val="16"/>
      </w:rPr>
      <w:t xml:space="preserve"> </w:t>
    </w:r>
    <w:r w:rsidR="000F434D">
      <w:rPr>
        <w:b/>
        <w:bCs/>
        <w:color w:val="595959" w:themeColor="text1" w:themeTint="A6"/>
        <w:sz w:val="18"/>
        <w:szCs w:val="16"/>
      </w:rPr>
      <w:t>di previsione 202</w:t>
    </w:r>
    <w:r w:rsidR="005B7ACB">
      <w:rPr>
        <w:b/>
        <w:bCs/>
        <w:color w:val="595959" w:themeColor="text1" w:themeTint="A6"/>
        <w:sz w:val="18"/>
        <w:szCs w:val="16"/>
      </w:rPr>
      <w:t>6</w:t>
    </w:r>
    <w:r w:rsidR="000F434D">
      <w:rPr>
        <w:b/>
        <w:bCs/>
        <w:color w:val="595959" w:themeColor="text1" w:themeTint="A6"/>
        <w:sz w:val="18"/>
        <w:szCs w:val="16"/>
      </w:rPr>
      <w:t>-202</w:t>
    </w:r>
    <w:r w:rsidR="005B7ACB">
      <w:rPr>
        <w:b/>
        <w:bCs/>
        <w:color w:val="595959" w:themeColor="text1" w:themeTint="A6"/>
        <w:sz w:val="18"/>
        <w:szCs w:val="16"/>
      </w:rPr>
      <w:t>8</w:t>
    </w:r>
    <w:r w:rsidR="000F434D">
      <w:rPr>
        <w:b/>
        <w:bCs/>
        <w:color w:val="595959" w:themeColor="text1" w:themeTint="A6"/>
        <w:sz w:val="18"/>
        <w:szCs w:val="16"/>
      </w:rPr>
      <w:t xml:space="preserve"> e documenti allegati</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F9FF" w14:textId="71F208C2" w:rsidR="00EA572C" w:rsidRDefault="00875C18">
    <w:pPr>
      <w:pStyle w:val="Intestazione"/>
    </w:pPr>
    <w:r>
      <w:rPr>
        <w:noProof/>
        <w:lang w:eastAsia="it-IT"/>
      </w:rPr>
      <w:drawing>
        <wp:anchor distT="0" distB="0" distL="114300" distR="114300" simplePos="0" relativeHeight="251722752" behindDoc="0" locked="0" layoutInCell="1" allowOverlap="1" wp14:anchorId="25CD9E61" wp14:editId="34740C89">
          <wp:simplePos x="0" y="0"/>
          <wp:positionH relativeFrom="column">
            <wp:posOffset>3571875</wp:posOffset>
          </wp:positionH>
          <wp:positionV relativeFrom="paragraph">
            <wp:posOffset>52070</wp:posOffset>
          </wp:positionV>
          <wp:extent cx="1080000" cy="660849"/>
          <wp:effectExtent l="0" t="0" r="635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60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651D07C1">
          <wp:simplePos x="0" y="0"/>
          <wp:positionH relativeFrom="column">
            <wp:posOffset>1793875</wp:posOffset>
          </wp:positionH>
          <wp:positionV relativeFrom="paragraph">
            <wp:posOffset>144145</wp:posOffset>
          </wp:positionV>
          <wp:extent cx="1548000" cy="506974"/>
          <wp:effectExtent l="0" t="0" r="0" b="762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000" cy="50697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25824" behindDoc="0" locked="0" layoutInCell="1" allowOverlap="1" wp14:anchorId="76FFEBBE" wp14:editId="457CF159">
          <wp:simplePos x="0" y="0"/>
          <wp:positionH relativeFrom="column">
            <wp:posOffset>4813935</wp:posOffset>
          </wp:positionH>
          <wp:positionV relativeFrom="paragraph">
            <wp:posOffset>93980</wp:posOffset>
          </wp:positionV>
          <wp:extent cx="1224000" cy="587194"/>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000" cy="587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3F71" w14:textId="77777777" w:rsidR="000F434D" w:rsidRDefault="00000000" w:rsidP="00FF64A8">
    <w:pPr>
      <w:widowControl w:val="0"/>
      <w:pBdr>
        <w:top w:val="nil"/>
        <w:left w:val="nil"/>
        <w:bottom w:val="nil"/>
        <w:right w:val="nil"/>
        <w:between w:val="nil"/>
      </w:pBdr>
      <w:spacing w:after="120" w:line="240" w:lineRule="auto"/>
      <w:ind w:hanging="2"/>
      <w:jc w:val="right"/>
      <w:rPr>
        <w:color w:val="000000"/>
        <w:sz w:val="20"/>
        <w:szCs w:val="20"/>
      </w:rPr>
    </w:pPr>
    <w:sdt>
      <w:sdtPr>
        <w:rPr>
          <w:b/>
          <w:color w:val="000000"/>
          <w:sz w:val="20"/>
          <w:szCs w:val="20"/>
        </w:rPr>
        <w:id w:val="601925386"/>
        <w:docPartObj>
          <w:docPartGallery w:val="Page Numbers (Margins)"/>
          <w:docPartUnique/>
        </w:docPartObj>
      </w:sdtPr>
      <w:sdtContent>
        <w:r w:rsidR="000F434D" w:rsidRPr="00687F6D">
          <w:rPr>
            <w:b/>
            <w:noProof/>
            <w:color w:val="000000"/>
            <w:sz w:val="20"/>
            <w:szCs w:val="20"/>
          </w:rPr>
          <mc:AlternateContent>
            <mc:Choice Requires="wps">
              <w:drawing>
                <wp:anchor distT="0" distB="0" distL="114300" distR="114300" simplePos="0" relativeHeight="251729920" behindDoc="0" locked="0" layoutInCell="0" allowOverlap="1" wp14:anchorId="0DD7059A" wp14:editId="0CFEAAA2">
                  <wp:simplePos x="0" y="0"/>
                  <wp:positionH relativeFrom="rightMargin">
                    <wp:align>right</wp:align>
                  </wp:positionH>
                  <wp:positionV relativeFrom="margin">
                    <wp:align>center</wp:align>
                  </wp:positionV>
                  <wp:extent cx="396000" cy="252000"/>
                  <wp:effectExtent l="0" t="0" r="4445" b="0"/>
                  <wp:wrapNone/>
                  <wp:docPr id="224" name="Rettango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252000"/>
                          </a:xfrm>
                          <a:prstGeom prst="rect">
                            <a:avLst/>
                          </a:prstGeom>
                          <a:solidFill>
                            <a:srgbClr val="990000"/>
                          </a:solidFill>
                          <a:ln>
                            <a:noFill/>
                          </a:ln>
                        </wps:spPr>
                        <wps:txb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DD7059A" id="Rettangolo 224" o:spid="_x0000_s1034" style="position:absolute;left:0;text-align:left;margin-left:-20pt;margin-top:0;width:31.2pt;height:19.85pt;z-index:25172992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" o:allowincell="f" fillcolor="#900" stroked="f">
                  <v:textbo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v:textbox>
                  <w10:wrap anchorx="margin" anchory="margin"/>
                </v:rect>
              </w:pict>
            </mc:Fallback>
          </mc:AlternateContent>
        </w:r>
      </w:sdtContent>
    </w:sdt>
    <w:r w:rsidR="000F434D">
      <w:rPr>
        <w:b/>
        <w:color w:val="000000"/>
        <w:sz w:val="20"/>
        <w:szCs w:val="20"/>
      </w:rPr>
      <w:t>Comune di………</w:t>
    </w:r>
  </w:p>
  <w:p w14:paraId="76B1A764" w14:textId="77777777" w:rsidR="000F434D" w:rsidRDefault="000F434D">
    <w:pPr>
      <w:pStyle w:val="Intestazione"/>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322"/>
    <w:multiLevelType w:val="multilevel"/>
    <w:tmpl w:val="2018999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326667E"/>
    <w:multiLevelType w:val="hybridMultilevel"/>
    <w:tmpl w:val="85546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055E41"/>
    <w:multiLevelType w:val="hybridMultilevel"/>
    <w:tmpl w:val="7FCA103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4" w15:restartNumberingAfterBreak="0">
    <w:nsid w:val="0AD844DA"/>
    <w:multiLevelType w:val="multilevel"/>
    <w:tmpl w:val="25F800A2"/>
    <w:lvl w:ilvl="0">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5" w15:restartNumberingAfterBreak="0">
    <w:nsid w:val="0FD353E6"/>
    <w:multiLevelType w:val="multilevel"/>
    <w:tmpl w:val="B9660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5D77A7"/>
    <w:multiLevelType w:val="multilevel"/>
    <w:tmpl w:val="3FB091A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7" w15:restartNumberingAfterBreak="0">
    <w:nsid w:val="250A1E96"/>
    <w:multiLevelType w:val="multilevel"/>
    <w:tmpl w:val="42145C34"/>
    <w:lvl w:ilvl="0">
      <w:start w:val="1"/>
      <w:numFmt w:val="bullet"/>
      <w:lvlText w:val="●"/>
      <w:lvlJc w:val="left"/>
      <w:pPr>
        <w:ind w:left="1146" w:hanging="360"/>
      </w:pPr>
      <w:rPr>
        <w:rFonts w:ascii="Noto Sans" w:eastAsia="Noto Sans" w:hAnsi="Noto Sans" w:cs="Noto San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w:eastAsia="Noto Sans" w:hAnsi="Noto Sans" w:cs="Noto Sans"/>
        <w:vertAlign w:val="baseline"/>
      </w:rPr>
    </w:lvl>
    <w:lvl w:ilvl="3">
      <w:start w:val="1"/>
      <w:numFmt w:val="bullet"/>
      <w:lvlText w:val="●"/>
      <w:lvlJc w:val="left"/>
      <w:pPr>
        <w:ind w:left="3306" w:hanging="360"/>
      </w:pPr>
      <w:rPr>
        <w:rFonts w:ascii="Noto Sans" w:eastAsia="Noto Sans" w:hAnsi="Noto Sans" w:cs="Noto San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w:eastAsia="Noto Sans" w:hAnsi="Noto Sans" w:cs="Noto Sans"/>
        <w:vertAlign w:val="baseline"/>
      </w:rPr>
    </w:lvl>
    <w:lvl w:ilvl="6">
      <w:start w:val="1"/>
      <w:numFmt w:val="bullet"/>
      <w:lvlText w:val="●"/>
      <w:lvlJc w:val="left"/>
      <w:pPr>
        <w:ind w:left="5466" w:hanging="360"/>
      </w:pPr>
      <w:rPr>
        <w:rFonts w:ascii="Noto Sans" w:eastAsia="Noto Sans" w:hAnsi="Noto Sans" w:cs="Noto San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w:eastAsia="Noto Sans" w:hAnsi="Noto Sans" w:cs="Noto Sans"/>
        <w:vertAlign w:val="baseline"/>
      </w:rPr>
    </w:lvl>
  </w:abstractNum>
  <w:abstractNum w:abstractNumId="8" w15:restartNumberingAfterBreak="0">
    <w:nsid w:val="29735FEB"/>
    <w:multiLevelType w:val="hybridMultilevel"/>
    <w:tmpl w:val="FF0C260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162AA9"/>
    <w:multiLevelType w:val="multilevel"/>
    <w:tmpl w:val="B2B2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99034E"/>
    <w:multiLevelType w:val="multilevel"/>
    <w:tmpl w:val="104800CA"/>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411346F3"/>
    <w:multiLevelType w:val="multilevel"/>
    <w:tmpl w:val="517EB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2F74E5"/>
    <w:multiLevelType w:val="hybridMultilevel"/>
    <w:tmpl w:val="A00ED090"/>
    <w:lvl w:ilvl="0" w:tplc="7E7863A2">
      <w:start w:val="1"/>
      <w:numFmt w:val="lowerLetter"/>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15" w15:restartNumberingAfterBreak="0">
    <w:nsid w:val="695C3658"/>
    <w:multiLevelType w:val="multilevel"/>
    <w:tmpl w:val="169C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A612D"/>
    <w:multiLevelType w:val="multilevel"/>
    <w:tmpl w:val="7230FE2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7" w15:restartNumberingAfterBreak="0">
    <w:nsid w:val="72481047"/>
    <w:multiLevelType w:val="multilevel"/>
    <w:tmpl w:val="64D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4944E6"/>
    <w:multiLevelType w:val="hybridMultilevel"/>
    <w:tmpl w:val="9AC27D82"/>
    <w:lvl w:ilvl="0" w:tplc="C58AD80A">
      <w:start w:val="1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9F0442"/>
    <w:multiLevelType w:val="multilevel"/>
    <w:tmpl w:val="212AAEC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0" w15:restartNumberingAfterBreak="0">
    <w:nsid w:val="7936593C"/>
    <w:multiLevelType w:val="multilevel"/>
    <w:tmpl w:val="1CDC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584219"/>
    <w:multiLevelType w:val="multilevel"/>
    <w:tmpl w:val="1596787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2" w15:restartNumberingAfterBreak="0">
    <w:nsid w:val="7F69264E"/>
    <w:multiLevelType w:val="multilevel"/>
    <w:tmpl w:val="918C244A"/>
    <w:lvl w:ilvl="0">
      <w:numFmt w:val="bullet"/>
      <w:lvlText w:val="-"/>
      <w:lvlJc w:val="left"/>
      <w:pPr>
        <w:ind w:left="360" w:hanging="360"/>
      </w:pPr>
      <w:rPr>
        <w:rFonts w:ascii="Arial" w:eastAsia="Arial" w:hAnsi="Arial" w:cs="Arial"/>
        <w:sz w:val="16"/>
        <w:szCs w:val="16"/>
        <w:vertAlign w:val="baseline"/>
      </w:rPr>
    </w:lvl>
    <w:lvl w:ilvl="1">
      <w:start w:val="1"/>
      <w:numFmt w:val="decimal"/>
      <w:lvlText w:val="o"/>
      <w:lvlJc w:val="left"/>
      <w:pPr>
        <w:ind w:left="720" w:hanging="360"/>
      </w:pPr>
      <w:rPr>
        <w:rFonts w:ascii="Courier New" w:eastAsia="Courier New" w:hAnsi="Courier New" w:cs="Courier New"/>
        <w:vertAlign w:val="baseline"/>
      </w:rPr>
    </w:lvl>
    <w:lvl w:ilvl="2">
      <w:start w:val="1"/>
      <w:numFmt w:val="decimal"/>
      <w:lvlText w:val=""/>
      <w:lvlJc w:val="left"/>
      <w:pPr>
        <w:ind w:left="1080" w:hanging="360"/>
      </w:pPr>
      <w:rPr>
        <w:rFonts w:ascii="Noto Sans" w:eastAsia="Noto Sans" w:hAnsi="Noto Sans" w:cs="Noto Sans"/>
        <w:vertAlign w:val="baseline"/>
      </w:rPr>
    </w:lvl>
    <w:lvl w:ilvl="3">
      <w:start w:val="1"/>
      <w:numFmt w:val="decimal"/>
      <w:lvlText w:val=""/>
      <w:lvlJc w:val="left"/>
      <w:pPr>
        <w:ind w:left="1440" w:hanging="360"/>
      </w:pPr>
      <w:rPr>
        <w:rFonts w:ascii="Noto Sans" w:eastAsia="Noto Sans" w:hAnsi="Noto Sans" w:cs="Noto Sans"/>
        <w:vertAlign w:val="baseline"/>
      </w:rPr>
    </w:lvl>
    <w:lvl w:ilvl="4">
      <w:start w:val="1"/>
      <w:numFmt w:val="decimal"/>
      <w:lvlText w:val="o"/>
      <w:lvlJc w:val="left"/>
      <w:pPr>
        <w:ind w:left="1800" w:hanging="360"/>
      </w:pPr>
      <w:rPr>
        <w:rFonts w:ascii="Courier New" w:eastAsia="Courier New" w:hAnsi="Courier New" w:cs="Courier New"/>
        <w:vertAlign w:val="baseline"/>
      </w:rPr>
    </w:lvl>
    <w:lvl w:ilvl="5">
      <w:start w:val="1"/>
      <w:numFmt w:val="decimal"/>
      <w:lvlText w:val=""/>
      <w:lvlJc w:val="left"/>
      <w:pPr>
        <w:ind w:left="2160" w:hanging="360"/>
      </w:pPr>
      <w:rPr>
        <w:rFonts w:ascii="Noto Sans" w:eastAsia="Noto Sans" w:hAnsi="Noto Sans" w:cs="Noto Sans"/>
        <w:vertAlign w:val="baseline"/>
      </w:rPr>
    </w:lvl>
    <w:lvl w:ilvl="6">
      <w:start w:val="1"/>
      <w:numFmt w:val="decimal"/>
      <w:lvlText w:val=""/>
      <w:lvlJc w:val="left"/>
      <w:pPr>
        <w:ind w:left="2520" w:hanging="360"/>
      </w:pPr>
      <w:rPr>
        <w:rFonts w:ascii="Noto Sans" w:eastAsia="Noto Sans" w:hAnsi="Noto Sans" w:cs="Noto Sans"/>
        <w:vertAlign w:val="baseline"/>
      </w:rPr>
    </w:lvl>
    <w:lvl w:ilvl="7">
      <w:start w:val="1"/>
      <w:numFmt w:val="decimal"/>
      <w:lvlText w:val="o"/>
      <w:lvlJc w:val="left"/>
      <w:pPr>
        <w:ind w:left="2880" w:hanging="360"/>
      </w:pPr>
      <w:rPr>
        <w:rFonts w:ascii="Courier New" w:eastAsia="Courier New" w:hAnsi="Courier New" w:cs="Courier New"/>
        <w:vertAlign w:val="baseline"/>
      </w:rPr>
    </w:lvl>
    <w:lvl w:ilvl="8">
      <w:start w:val="1"/>
      <w:numFmt w:val="decimal"/>
      <w:lvlText w:val=""/>
      <w:lvlJc w:val="left"/>
      <w:pPr>
        <w:ind w:left="3240" w:hanging="360"/>
      </w:pPr>
      <w:rPr>
        <w:rFonts w:ascii="Noto Sans" w:eastAsia="Noto Sans" w:hAnsi="Noto Sans" w:cs="Noto Sans"/>
        <w:vertAlign w:val="baseline"/>
      </w:rPr>
    </w:lvl>
  </w:abstractNum>
  <w:num w:numId="1" w16cid:durableId="897282076">
    <w:abstractNumId w:val="12"/>
  </w:num>
  <w:num w:numId="2" w16cid:durableId="1302151230">
    <w:abstractNumId w:val="13"/>
  </w:num>
  <w:num w:numId="3" w16cid:durableId="1343706755">
    <w:abstractNumId w:val="13"/>
    <w:lvlOverride w:ilvl="0">
      <w:startOverride w:val="1"/>
    </w:lvlOverride>
  </w:num>
  <w:num w:numId="4" w16cid:durableId="1141000271">
    <w:abstractNumId w:val="16"/>
  </w:num>
  <w:num w:numId="5" w16cid:durableId="24332491">
    <w:abstractNumId w:val="21"/>
  </w:num>
  <w:num w:numId="6" w16cid:durableId="1783916386">
    <w:abstractNumId w:val="22"/>
  </w:num>
  <w:num w:numId="7" w16cid:durableId="1773623878">
    <w:abstractNumId w:val="5"/>
  </w:num>
  <w:num w:numId="8" w16cid:durableId="2127431420">
    <w:abstractNumId w:val="6"/>
  </w:num>
  <w:num w:numId="9" w16cid:durableId="424887458">
    <w:abstractNumId w:val="9"/>
  </w:num>
  <w:num w:numId="10" w16cid:durableId="966592253">
    <w:abstractNumId w:val="17"/>
  </w:num>
  <w:num w:numId="11" w16cid:durableId="1117867663">
    <w:abstractNumId w:val="19"/>
  </w:num>
  <w:num w:numId="12" w16cid:durableId="1877500892">
    <w:abstractNumId w:val="10"/>
  </w:num>
  <w:num w:numId="13" w16cid:durableId="302973786">
    <w:abstractNumId w:val="0"/>
  </w:num>
  <w:num w:numId="14" w16cid:durableId="745610953">
    <w:abstractNumId w:val="4"/>
  </w:num>
  <w:num w:numId="15" w16cid:durableId="264339377">
    <w:abstractNumId w:val="7"/>
  </w:num>
  <w:num w:numId="16" w16cid:durableId="2058502255">
    <w:abstractNumId w:val="11"/>
  </w:num>
  <w:num w:numId="17" w16cid:durableId="970600842">
    <w:abstractNumId w:val="14"/>
  </w:num>
  <w:num w:numId="18" w16cid:durableId="1955625418">
    <w:abstractNumId w:val="3"/>
  </w:num>
  <w:num w:numId="19" w16cid:durableId="335766176">
    <w:abstractNumId w:val="20"/>
  </w:num>
  <w:num w:numId="20" w16cid:durableId="1105922088">
    <w:abstractNumId w:val="15"/>
  </w:num>
  <w:num w:numId="21" w16cid:durableId="329450725">
    <w:abstractNumId w:val="18"/>
  </w:num>
  <w:num w:numId="22" w16cid:durableId="706487748">
    <w:abstractNumId w:val="2"/>
  </w:num>
  <w:num w:numId="23" w16cid:durableId="1682273503">
    <w:abstractNumId w:val="1"/>
  </w:num>
  <w:num w:numId="24" w16cid:durableId="186872982">
    <w:abstractNumId w:val="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De Toni">
    <w15:presenceInfo w15:providerId="AD" w15:userId="S::detoni@fncommercialisti.it::b2373710-ffcd-450e-89fc-96b10df98713"/>
  </w15:person>
  <w15:person w15:author="Marco Castellani">
    <w15:presenceInfo w15:providerId="None" w15:userId="Marco Castell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10391"/>
    <w:rsid w:val="000123A9"/>
    <w:rsid w:val="00015CB0"/>
    <w:rsid w:val="00016D66"/>
    <w:rsid w:val="00023240"/>
    <w:rsid w:val="000257EA"/>
    <w:rsid w:val="00027A85"/>
    <w:rsid w:val="00030F3E"/>
    <w:rsid w:val="000315D5"/>
    <w:rsid w:val="000333BE"/>
    <w:rsid w:val="0003493F"/>
    <w:rsid w:val="00037B83"/>
    <w:rsid w:val="00041220"/>
    <w:rsid w:val="00043C13"/>
    <w:rsid w:val="00044C13"/>
    <w:rsid w:val="00051D16"/>
    <w:rsid w:val="000548F0"/>
    <w:rsid w:val="00055571"/>
    <w:rsid w:val="00057E67"/>
    <w:rsid w:val="0006092D"/>
    <w:rsid w:val="00061AB1"/>
    <w:rsid w:val="00062E4A"/>
    <w:rsid w:val="00067324"/>
    <w:rsid w:val="000704E5"/>
    <w:rsid w:val="00070643"/>
    <w:rsid w:val="00073C23"/>
    <w:rsid w:val="0007605A"/>
    <w:rsid w:val="0007692F"/>
    <w:rsid w:val="00085541"/>
    <w:rsid w:val="00091F72"/>
    <w:rsid w:val="00092F2D"/>
    <w:rsid w:val="00095C98"/>
    <w:rsid w:val="000A20C5"/>
    <w:rsid w:val="000A2BF6"/>
    <w:rsid w:val="000A433C"/>
    <w:rsid w:val="000B4737"/>
    <w:rsid w:val="000C04F1"/>
    <w:rsid w:val="000C146B"/>
    <w:rsid w:val="000C27B5"/>
    <w:rsid w:val="000D0685"/>
    <w:rsid w:val="000D24C3"/>
    <w:rsid w:val="000D267B"/>
    <w:rsid w:val="000D4A8B"/>
    <w:rsid w:val="000E379B"/>
    <w:rsid w:val="000E679E"/>
    <w:rsid w:val="000E7E0C"/>
    <w:rsid w:val="000F142A"/>
    <w:rsid w:val="000F434D"/>
    <w:rsid w:val="000F4AEC"/>
    <w:rsid w:val="00100182"/>
    <w:rsid w:val="0010432F"/>
    <w:rsid w:val="001061E5"/>
    <w:rsid w:val="00106490"/>
    <w:rsid w:val="00111DCA"/>
    <w:rsid w:val="00113EBF"/>
    <w:rsid w:val="0011463D"/>
    <w:rsid w:val="0011753B"/>
    <w:rsid w:val="00120BF4"/>
    <w:rsid w:val="00123ADD"/>
    <w:rsid w:val="0012444A"/>
    <w:rsid w:val="00130ED4"/>
    <w:rsid w:val="001313E1"/>
    <w:rsid w:val="0013472C"/>
    <w:rsid w:val="00135AF1"/>
    <w:rsid w:val="00137E1F"/>
    <w:rsid w:val="00141985"/>
    <w:rsid w:val="0014487A"/>
    <w:rsid w:val="00144E3E"/>
    <w:rsid w:val="00145E1F"/>
    <w:rsid w:val="00147514"/>
    <w:rsid w:val="00147D6D"/>
    <w:rsid w:val="00154134"/>
    <w:rsid w:val="00160626"/>
    <w:rsid w:val="0016197D"/>
    <w:rsid w:val="001628B6"/>
    <w:rsid w:val="00167FAB"/>
    <w:rsid w:val="00172F6C"/>
    <w:rsid w:val="001750D0"/>
    <w:rsid w:val="001767AA"/>
    <w:rsid w:val="00180D69"/>
    <w:rsid w:val="00183124"/>
    <w:rsid w:val="00184760"/>
    <w:rsid w:val="001920AC"/>
    <w:rsid w:val="00197725"/>
    <w:rsid w:val="001A33D4"/>
    <w:rsid w:val="001B0735"/>
    <w:rsid w:val="001B3481"/>
    <w:rsid w:val="001B46E7"/>
    <w:rsid w:val="001B4A48"/>
    <w:rsid w:val="001B736A"/>
    <w:rsid w:val="001C6E97"/>
    <w:rsid w:val="001D53E6"/>
    <w:rsid w:val="001D557E"/>
    <w:rsid w:val="001D647A"/>
    <w:rsid w:val="001D7F3A"/>
    <w:rsid w:val="001E05FD"/>
    <w:rsid w:val="001E29DF"/>
    <w:rsid w:val="001F0872"/>
    <w:rsid w:val="001F449E"/>
    <w:rsid w:val="001F5CAC"/>
    <w:rsid w:val="001F7771"/>
    <w:rsid w:val="002025FC"/>
    <w:rsid w:val="002050D7"/>
    <w:rsid w:val="0020586E"/>
    <w:rsid w:val="00205A0B"/>
    <w:rsid w:val="00206EA1"/>
    <w:rsid w:val="0020781F"/>
    <w:rsid w:val="0020799E"/>
    <w:rsid w:val="0022116F"/>
    <w:rsid w:val="00225C92"/>
    <w:rsid w:val="0023056A"/>
    <w:rsid w:val="00230FEC"/>
    <w:rsid w:val="00232319"/>
    <w:rsid w:val="00232DC0"/>
    <w:rsid w:val="00234EDE"/>
    <w:rsid w:val="00243476"/>
    <w:rsid w:val="002507E0"/>
    <w:rsid w:val="0025379E"/>
    <w:rsid w:val="00255646"/>
    <w:rsid w:val="002563F5"/>
    <w:rsid w:val="00271449"/>
    <w:rsid w:val="002742E9"/>
    <w:rsid w:val="00274695"/>
    <w:rsid w:val="00274B45"/>
    <w:rsid w:val="002765A0"/>
    <w:rsid w:val="00281EF7"/>
    <w:rsid w:val="0028327B"/>
    <w:rsid w:val="00296F06"/>
    <w:rsid w:val="0029715C"/>
    <w:rsid w:val="002A0A97"/>
    <w:rsid w:val="002A2EFA"/>
    <w:rsid w:val="002A4ED2"/>
    <w:rsid w:val="002B0509"/>
    <w:rsid w:val="002B08C9"/>
    <w:rsid w:val="002B0FF4"/>
    <w:rsid w:val="002B11E4"/>
    <w:rsid w:val="002B1C98"/>
    <w:rsid w:val="002C0161"/>
    <w:rsid w:val="002C058A"/>
    <w:rsid w:val="002C09BB"/>
    <w:rsid w:val="002C30C4"/>
    <w:rsid w:val="002C614B"/>
    <w:rsid w:val="002D081B"/>
    <w:rsid w:val="002D58DE"/>
    <w:rsid w:val="002D6D33"/>
    <w:rsid w:val="002E4688"/>
    <w:rsid w:val="002E4FFA"/>
    <w:rsid w:val="002E6A44"/>
    <w:rsid w:val="002F0F0D"/>
    <w:rsid w:val="002F178F"/>
    <w:rsid w:val="002F3B15"/>
    <w:rsid w:val="002F4089"/>
    <w:rsid w:val="002F411C"/>
    <w:rsid w:val="002F421A"/>
    <w:rsid w:val="002F556C"/>
    <w:rsid w:val="002F712E"/>
    <w:rsid w:val="00302409"/>
    <w:rsid w:val="0030357B"/>
    <w:rsid w:val="00305E6B"/>
    <w:rsid w:val="00305F9B"/>
    <w:rsid w:val="0030743F"/>
    <w:rsid w:val="00307C67"/>
    <w:rsid w:val="00312D6F"/>
    <w:rsid w:val="00312F8F"/>
    <w:rsid w:val="003141D3"/>
    <w:rsid w:val="0031457E"/>
    <w:rsid w:val="00314BB9"/>
    <w:rsid w:val="00315670"/>
    <w:rsid w:val="00315C0D"/>
    <w:rsid w:val="00317F9E"/>
    <w:rsid w:val="0032503F"/>
    <w:rsid w:val="00326BD6"/>
    <w:rsid w:val="003301B0"/>
    <w:rsid w:val="0033174C"/>
    <w:rsid w:val="00331D66"/>
    <w:rsid w:val="0033490E"/>
    <w:rsid w:val="003426AB"/>
    <w:rsid w:val="00347D92"/>
    <w:rsid w:val="003500C2"/>
    <w:rsid w:val="00352C52"/>
    <w:rsid w:val="0035512D"/>
    <w:rsid w:val="003556D4"/>
    <w:rsid w:val="00360115"/>
    <w:rsid w:val="00364775"/>
    <w:rsid w:val="00365127"/>
    <w:rsid w:val="003669B9"/>
    <w:rsid w:val="0036703D"/>
    <w:rsid w:val="0037282E"/>
    <w:rsid w:val="00373234"/>
    <w:rsid w:val="00377468"/>
    <w:rsid w:val="0038332F"/>
    <w:rsid w:val="003859A4"/>
    <w:rsid w:val="00390923"/>
    <w:rsid w:val="0039321F"/>
    <w:rsid w:val="00394D76"/>
    <w:rsid w:val="00395B39"/>
    <w:rsid w:val="00396382"/>
    <w:rsid w:val="00396869"/>
    <w:rsid w:val="00396950"/>
    <w:rsid w:val="003A265A"/>
    <w:rsid w:val="003A4429"/>
    <w:rsid w:val="003A475B"/>
    <w:rsid w:val="003A4A40"/>
    <w:rsid w:val="003A6841"/>
    <w:rsid w:val="003A6C47"/>
    <w:rsid w:val="003B0545"/>
    <w:rsid w:val="003B1D99"/>
    <w:rsid w:val="003B53FC"/>
    <w:rsid w:val="003C46F2"/>
    <w:rsid w:val="003C775D"/>
    <w:rsid w:val="003D0D20"/>
    <w:rsid w:val="003D2AA5"/>
    <w:rsid w:val="003D2C2F"/>
    <w:rsid w:val="003D5192"/>
    <w:rsid w:val="003D6EBE"/>
    <w:rsid w:val="003E136B"/>
    <w:rsid w:val="003E2D93"/>
    <w:rsid w:val="003E44F8"/>
    <w:rsid w:val="003E77E0"/>
    <w:rsid w:val="003F28E9"/>
    <w:rsid w:val="003F2BB5"/>
    <w:rsid w:val="003F35D7"/>
    <w:rsid w:val="003F4BA1"/>
    <w:rsid w:val="003F5429"/>
    <w:rsid w:val="00406D3E"/>
    <w:rsid w:val="004076E1"/>
    <w:rsid w:val="00411C7D"/>
    <w:rsid w:val="00417480"/>
    <w:rsid w:val="0042220A"/>
    <w:rsid w:val="004235E2"/>
    <w:rsid w:val="00423C19"/>
    <w:rsid w:val="00427CC3"/>
    <w:rsid w:val="004314C0"/>
    <w:rsid w:val="004339F8"/>
    <w:rsid w:val="00435447"/>
    <w:rsid w:val="00435AB9"/>
    <w:rsid w:val="00435D32"/>
    <w:rsid w:val="00436415"/>
    <w:rsid w:val="00445341"/>
    <w:rsid w:val="00445D4A"/>
    <w:rsid w:val="0045043D"/>
    <w:rsid w:val="00452126"/>
    <w:rsid w:val="0045691F"/>
    <w:rsid w:val="00457FE8"/>
    <w:rsid w:val="0046012B"/>
    <w:rsid w:val="0046016D"/>
    <w:rsid w:val="00463414"/>
    <w:rsid w:val="0046582C"/>
    <w:rsid w:val="00467713"/>
    <w:rsid w:val="00471A3B"/>
    <w:rsid w:val="00472455"/>
    <w:rsid w:val="00477B23"/>
    <w:rsid w:val="00480737"/>
    <w:rsid w:val="00480F8F"/>
    <w:rsid w:val="00482A33"/>
    <w:rsid w:val="00483AB8"/>
    <w:rsid w:val="00485A91"/>
    <w:rsid w:val="0049172B"/>
    <w:rsid w:val="0049235E"/>
    <w:rsid w:val="00492A9B"/>
    <w:rsid w:val="00492BD1"/>
    <w:rsid w:val="00492E91"/>
    <w:rsid w:val="004938F9"/>
    <w:rsid w:val="00493F67"/>
    <w:rsid w:val="00495484"/>
    <w:rsid w:val="004A2A0D"/>
    <w:rsid w:val="004A2C82"/>
    <w:rsid w:val="004A794D"/>
    <w:rsid w:val="004B241B"/>
    <w:rsid w:val="004B4CFE"/>
    <w:rsid w:val="004B7240"/>
    <w:rsid w:val="004C3B23"/>
    <w:rsid w:val="004C47C6"/>
    <w:rsid w:val="004C5239"/>
    <w:rsid w:val="004D35C7"/>
    <w:rsid w:val="004D4002"/>
    <w:rsid w:val="004D4247"/>
    <w:rsid w:val="004D7BBE"/>
    <w:rsid w:val="004E1ADF"/>
    <w:rsid w:val="004E270E"/>
    <w:rsid w:val="004E46A8"/>
    <w:rsid w:val="004E710A"/>
    <w:rsid w:val="004F563E"/>
    <w:rsid w:val="004F63CF"/>
    <w:rsid w:val="0050144D"/>
    <w:rsid w:val="00501B57"/>
    <w:rsid w:val="0050542C"/>
    <w:rsid w:val="00506CD3"/>
    <w:rsid w:val="00507D45"/>
    <w:rsid w:val="00511B92"/>
    <w:rsid w:val="00511D4D"/>
    <w:rsid w:val="00515733"/>
    <w:rsid w:val="00515A8D"/>
    <w:rsid w:val="00516D33"/>
    <w:rsid w:val="00517045"/>
    <w:rsid w:val="005208F7"/>
    <w:rsid w:val="005303BF"/>
    <w:rsid w:val="0053173F"/>
    <w:rsid w:val="005319D1"/>
    <w:rsid w:val="00531BA6"/>
    <w:rsid w:val="005347DC"/>
    <w:rsid w:val="00541C34"/>
    <w:rsid w:val="00542E55"/>
    <w:rsid w:val="00542F48"/>
    <w:rsid w:val="00544D9B"/>
    <w:rsid w:val="005466F0"/>
    <w:rsid w:val="00550C86"/>
    <w:rsid w:val="0055406F"/>
    <w:rsid w:val="00557582"/>
    <w:rsid w:val="005601B4"/>
    <w:rsid w:val="00562550"/>
    <w:rsid w:val="005633BA"/>
    <w:rsid w:val="00564111"/>
    <w:rsid w:val="005643E7"/>
    <w:rsid w:val="005665F9"/>
    <w:rsid w:val="005751E9"/>
    <w:rsid w:val="005777DA"/>
    <w:rsid w:val="00580948"/>
    <w:rsid w:val="0058255E"/>
    <w:rsid w:val="00583C01"/>
    <w:rsid w:val="0058692F"/>
    <w:rsid w:val="00587DE9"/>
    <w:rsid w:val="005929DD"/>
    <w:rsid w:val="00593856"/>
    <w:rsid w:val="00594798"/>
    <w:rsid w:val="00595F99"/>
    <w:rsid w:val="00597195"/>
    <w:rsid w:val="0059751B"/>
    <w:rsid w:val="005A19F8"/>
    <w:rsid w:val="005A28CB"/>
    <w:rsid w:val="005A3C0A"/>
    <w:rsid w:val="005A7721"/>
    <w:rsid w:val="005A7F4E"/>
    <w:rsid w:val="005B1FBB"/>
    <w:rsid w:val="005B4440"/>
    <w:rsid w:val="005B7ACB"/>
    <w:rsid w:val="005C01E7"/>
    <w:rsid w:val="005C42EA"/>
    <w:rsid w:val="005C4E7F"/>
    <w:rsid w:val="005C5CBE"/>
    <w:rsid w:val="005D50A9"/>
    <w:rsid w:val="005D5E36"/>
    <w:rsid w:val="005D67FF"/>
    <w:rsid w:val="005D78F8"/>
    <w:rsid w:val="005E38B8"/>
    <w:rsid w:val="005E4B49"/>
    <w:rsid w:val="005E57D2"/>
    <w:rsid w:val="005F4156"/>
    <w:rsid w:val="005F5CD5"/>
    <w:rsid w:val="005F5FD5"/>
    <w:rsid w:val="005F6721"/>
    <w:rsid w:val="0060722B"/>
    <w:rsid w:val="00612096"/>
    <w:rsid w:val="00613B69"/>
    <w:rsid w:val="00614204"/>
    <w:rsid w:val="00615F9A"/>
    <w:rsid w:val="006202C9"/>
    <w:rsid w:val="0062092D"/>
    <w:rsid w:val="0062092F"/>
    <w:rsid w:val="00622CC4"/>
    <w:rsid w:val="006245F8"/>
    <w:rsid w:val="00625DD6"/>
    <w:rsid w:val="00626F3F"/>
    <w:rsid w:val="00633192"/>
    <w:rsid w:val="00635C4D"/>
    <w:rsid w:val="00636897"/>
    <w:rsid w:val="00636DC7"/>
    <w:rsid w:val="00642459"/>
    <w:rsid w:val="006430B5"/>
    <w:rsid w:val="00643A5A"/>
    <w:rsid w:val="00643E5E"/>
    <w:rsid w:val="006536A1"/>
    <w:rsid w:val="00660AEC"/>
    <w:rsid w:val="00661F00"/>
    <w:rsid w:val="00662D4F"/>
    <w:rsid w:val="0066306E"/>
    <w:rsid w:val="006636D4"/>
    <w:rsid w:val="006636ED"/>
    <w:rsid w:val="00664937"/>
    <w:rsid w:val="00665DA4"/>
    <w:rsid w:val="00666658"/>
    <w:rsid w:val="00673269"/>
    <w:rsid w:val="00675758"/>
    <w:rsid w:val="0067743C"/>
    <w:rsid w:val="006859B9"/>
    <w:rsid w:val="00686C04"/>
    <w:rsid w:val="006903EE"/>
    <w:rsid w:val="0069284C"/>
    <w:rsid w:val="00693D95"/>
    <w:rsid w:val="006A0DFE"/>
    <w:rsid w:val="006A2472"/>
    <w:rsid w:val="006A3916"/>
    <w:rsid w:val="006A4958"/>
    <w:rsid w:val="006B07CB"/>
    <w:rsid w:val="006B11E3"/>
    <w:rsid w:val="006C106F"/>
    <w:rsid w:val="006C3174"/>
    <w:rsid w:val="006C6A64"/>
    <w:rsid w:val="006D3823"/>
    <w:rsid w:val="006D5552"/>
    <w:rsid w:val="006D6272"/>
    <w:rsid w:val="006E433B"/>
    <w:rsid w:val="006E4720"/>
    <w:rsid w:val="006E6CB2"/>
    <w:rsid w:val="006F1957"/>
    <w:rsid w:val="006F27B9"/>
    <w:rsid w:val="006F2E00"/>
    <w:rsid w:val="006F3F23"/>
    <w:rsid w:val="006F67A9"/>
    <w:rsid w:val="006F7AEC"/>
    <w:rsid w:val="007016B6"/>
    <w:rsid w:val="00701CA4"/>
    <w:rsid w:val="0070727A"/>
    <w:rsid w:val="007144D2"/>
    <w:rsid w:val="00714F9D"/>
    <w:rsid w:val="00721414"/>
    <w:rsid w:val="007265D8"/>
    <w:rsid w:val="0073453C"/>
    <w:rsid w:val="0073753A"/>
    <w:rsid w:val="0074045B"/>
    <w:rsid w:val="0074109C"/>
    <w:rsid w:val="00741A4A"/>
    <w:rsid w:val="00741BD7"/>
    <w:rsid w:val="00743AB5"/>
    <w:rsid w:val="00744F31"/>
    <w:rsid w:val="0074538E"/>
    <w:rsid w:val="00745529"/>
    <w:rsid w:val="00746AEE"/>
    <w:rsid w:val="00755CE7"/>
    <w:rsid w:val="00756ABC"/>
    <w:rsid w:val="007757A5"/>
    <w:rsid w:val="00775C30"/>
    <w:rsid w:val="00776DB2"/>
    <w:rsid w:val="00777129"/>
    <w:rsid w:val="0078043B"/>
    <w:rsid w:val="00782786"/>
    <w:rsid w:val="007A1B21"/>
    <w:rsid w:val="007A1CA0"/>
    <w:rsid w:val="007A3921"/>
    <w:rsid w:val="007B46B4"/>
    <w:rsid w:val="007B73B6"/>
    <w:rsid w:val="007C4606"/>
    <w:rsid w:val="007C5A6D"/>
    <w:rsid w:val="007C7D94"/>
    <w:rsid w:val="007D3544"/>
    <w:rsid w:val="007D39DB"/>
    <w:rsid w:val="007D4D2E"/>
    <w:rsid w:val="007E0239"/>
    <w:rsid w:val="007E06BA"/>
    <w:rsid w:val="007E5DDB"/>
    <w:rsid w:val="007F0150"/>
    <w:rsid w:val="007F0B76"/>
    <w:rsid w:val="007F0FC6"/>
    <w:rsid w:val="007F1987"/>
    <w:rsid w:val="007F1F9C"/>
    <w:rsid w:val="007F3E98"/>
    <w:rsid w:val="007F69A8"/>
    <w:rsid w:val="007F7881"/>
    <w:rsid w:val="008027BF"/>
    <w:rsid w:val="00802D38"/>
    <w:rsid w:val="00803C96"/>
    <w:rsid w:val="0080576D"/>
    <w:rsid w:val="00810164"/>
    <w:rsid w:val="008102EA"/>
    <w:rsid w:val="00813765"/>
    <w:rsid w:val="00813AFB"/>
    <w:rsid w:val="00823188"/>
    <w:rsid w:val="00826CB4"/>
    <w:rsid w:val="00830D93"/>
    <w:rsid w:val="00832D7E"/>
    <w:rsid w:val="008350B1"/>
    <w:rsid w:val="008364BB"/>
    <w:rsid w:val="00841C1C"/>
    <w:rsid w:val="00842D26"/>
    <w:rsid w:val="00842D55"/>
    <w:rsid w:val="0084327A"/>
    <w:rsid w:val="008447CF"/>
    <w:rsid w:val="00847564"/>
    <w:rsid w:val="0085033E"/>
    <w:rsid w:val="008512C4"/>
    <w:rsid w:val="00851D77"/>
    <w:rsid w:val="008532B5"/>
    <w:rsid w:val="008563AC"/>
    <w:rsid w:val="00856A04"/>
    <w:rsid w:val="00856A66"/>
    <w:rsid w:val="008578F5"/>
    <w:rsid w:val="00860593"/>
    <w:rsid w:val="00861C03"/>
    <w:rsid w:val="00864DBE"/>
    <w:rsid w:val="00867831"/>
    <w:rsid w:val="00867B04"/>
    <w:rsid w:val="00875C18"/>
    <w:rsid w:val="00883971"/>
    <w:rsid w:val="00886830"/>
    <w:rsid w:val="00887BC1"/>
    <w:rsid w:val="00890CA1"/>
    <w:rsid w:val="00891876"/>
    <w:rsid w:val="00893965"/>
    <w:rsid w:val="00895D91"/>
    <w:rsid w:val="008A2232"/>
    <w:rsid w:val="008A2E4B"/>
    <w:rsid w:val="008A30B2"/>
    <w:rsid w:val="008A5A9B"/>
    <w:rsid w:val="008A6BE0"/>
    <w:rsid w:val="008B3231"/>
    <w:rsid w:val="008B43D0"/>
    <w:rsid w:val="008B604E"/>
    <w:rsid w:val="008B6ABC"/>
    <w:rsid w:val="008C0610"/>
    <w:rsid w:val="008C18B8"/>
    <w:rsid w:val="008C52A5"/>
    <w:rsid w:val="008C57B1"/>
    <w:rsid w:val="008C6A4D"/>
    <w:rsid w:val="008D05EA"/>
    <w:rsid w:val="008D54E5"/>
    <w:rsid w:val="008D5BD6"/>
    <w:rsid w:val="008F18DF"/>
    <w:rsid w:val="008F31FC"/>
    <w:rsid w:val="0091207B"/>
    <w:rsid w:val="0091260C"/>
    <w:rsid w:val="00915D7B"/>
    <w:rsid w:val="00917E35"/>
    <w:rsid w:val="00920B00"/>
    <w:rsid w:val="00921A8C"/>
    <w:rsid w:val="009232A4"/>
    <w:rsid w:val="009234C2"/>
    <w:rsid w:val="0092413E"/>
    <w:rsid w:val="0092764A"/>
    <w:rsid w:val="00930F0E"/>
    <w:rsid w:val="00942955"/>
    <w:rsid w:val="00942BED"/>
    <w:rsid w:val="00944B2E"/>
    <w:rsid w:val="009473D5"/>
    <w:rsid w:val="009516BB"/>
    <w:rsid w:val="00957094"/>
    <w:rsid w:val="0096552B"/>
    <w:rsid w:val="00972C7D"/>
    <w:rsid w:val="009731D1"/>
    <w:rsid w:val="009751A3"/>
    <w:rsid w:val="00980DE5"/>
    <w:rsid w:val="00981AEA"/>
    <w:rsid w:val="00986212"/>
    <w:rsid w:val="00992BE0"/>
    <w:rsid w:val="009963A0"/>
    <w:rsid w:val="00996A88"/>
    <w:rsid w:val="009A0E53"/>
    <w:rsid w:val="009A19A4"/>
    <w:rsid w:val="009A310B"/>
    <w:rsid w:val="009A39B7"/>
    <w:rsid w:val="009A5514"/>
    <w:rsid w:val="009A6751"/>
    <w:rsid w:val="009B2CDC"/>
    <w:rsid w:val="009B3FDC"/>
    <w:rsid w:val="009B4E89"/>
    <w:rsid w:val="009B5660"/>
    <w:rsid w:val="009B5F5B"/>
    <w:rsid w:val="009B653F"/>
    <w:rsid w:val="009C074F"/>
    <w:rsid w:val="009C323B"/>
    <w:rsid w:val="009C38AA"/>
    <w:rsid w:val="009C3C09"/>
    <w:rsid w:val="009D1AD6"/>
    <w:rsid w:val="009D4EA8"/>
    <w:rsid w:val="009D78BC"/>
    <w:rsid w:val="009E4F49"/>
    <w:rsid w:val="009E69E9"/>
    <w:rsid w:val="009F0B54"/>
    <w:rsid w:val="009F0E85"/>
    <w:rsid w:val="009F2F63"/>
    <w:rsid w:val="00A002C7"/>
    <w:rsid w:val="00A00960"/>
    <w:rsid w:val="00A138CB"/>
    <w:rsid w:val="00A13BEB"/>
    <w:rsid w:val="00A15B50"/>
    <w:rsid w:val="00A15C24"/>
    <w:rsid w:val="00A16468"/>
    <w:rsid w:val="00A20718"/>
    <w:rsid w:val="00A21157"/>
    <w:rsid w:val="00A215BE"/>
    <w:rsid w:val="00A244F0"/>
    <w:rsid w:val="00A25799"/>
    <w:rsid w:val="00A27E89"/>
    <w:rsid w:val="00A32DFF"/>
    <w:rsid w:val="00A34C85"/>
    <w:rsid w:val="00A419F4"/>
    <w:rsid w:val="00A42378"/>
    <w:rsid w:val="00A44FFB"/>
    <w:rsid w:val="00A453AC"/>
    <w:rsid w:val="00A5259F"/>
    <w:rsid w:val="00A53891"/>
    <w:rsid w:val="00A557E3"/>
    <w:rsid w:val="00A568D7"/>
    <w:rsid w:val="00A61B22"/>
    <w:rsid w:val="00A636E4"/>
    <w:rsid w:val="00A651F8"/>
    <w:rsid w:val="00A65CF4"/>
    <w:rsid w:val="00A729C8"/>
    <w:rsid w:val="00A733C5"/>
    <w:rsid w:val="00A73703"/>
    <w:rsid w:val="00A73EAD"/>
    <w:rsid w:val="00A7674A"/>
    <w:rsid w:val="00A8375C"/>
    <w:rsid w:val="00A87C28"/>
    <w:rsid w:val="00A9089A"/>
    <w:rsid w:val="00A90F32"/>
    <w:rsid w:val="00A94685"/>
    <w:rsid w:val="00A95FC9"/>
    <w:rsid w:val="00A97438"/>
    <w:rsid w:val="00AA008C"/>
    <w:rsid w:val="00AA0DD4"/>
    <w:rsid w:val="00AA1F26"/>
    <w:rsid w:val="00AB4558"/>
    <w:rsid w:val="00AB6116"/>
    <w:rsid w:val="00AB65E4"/>
    <w:rsid w:val="00AC1A66"/>
    <w:rsid w:val="00AC607D"/>
    <w:rsid w:val="00AC6416"/>
    <w:rsid w:val="00AC783B"/>
    <w:rsid w:val="00AD2AA7"/>
    <w:rsid w:val="00AD3415"/>
    <w:rsid w:val="00AD3BE6"/>
    <w:rsid w:val="00AD74C6"/>
    <w:rsid w:val="00AD7B50"/>
    <w:rsid w:val="00AE2E58"/>
    <w:rsid w:val="00AF7672"/>
    <w:rsid w:val="00AF78D2"/>
    <w:rsid w:val="00AF7A09"/>
    <w:rsid w:val="00B00D8A"/>
    <w:rsid w:val="00B013A2"/>
    <w:rsid w:val="00B067CB"/>
    <w:rsid w:val="00B135A7"/>
    <w:rsid w:val="00B138A7"/>
    <w:rsid w:val="00B13E47"/>
    <w:rsid w:val="00B163E0"/>
    <w:rsid w:val="00B20671"/>
    <w:rsid w:val="00B20AB3"/>
    <w:rsid w:val="00B23F36"/>
    <w:rsid w:val="00B250E9"/>
    <w:rsid w:val="00B254CC"/>
    <w:rsid w:val="00B25F4C"/>
    <w:rsid w:val="00B25F83"/>
    <w:rsid w:val="00B27D78"/>
    <w:rsid w:val="00B30E02"/>
    <w:rsid w:val="00B313AB"/>
    <w:rsid w:val="00B33DBA"/>
    <w:rsid w:val="00B34CB1"/>
    <w:rsid w:val="00B36CAC"/>
    <w:rsid w:val="00B37E3E"/>
    <w:rsid w:val="00B40868"/>
    <w:rsid w:val="00B47F10"/>
    <w:rsid w:val="00B526A2"/>
    <w:rsid w:val="00B5338F"/>
    <w:rsid w:val="00B542CD"/>
    <w:rsid w:val="00B57E0D"/>
    <w:rsid w:val="00B61A0E"/>
    <w:rsid w:val="00B62E12"/>
    <w:rsid w:val="00B64B05"/>
    <w:rsid w:val="00B67503"/>
    <w:rsid w:val="00B7528B"/>
    <w:rsid w:val="00B764DB"/>
    <w:rsid w:val="00B84CCA"/>
    <w:rsid w:val="00B853FC"/>
    <w:rsid w:val="00B91AB6"/>
    <w:rsid w:val="00B9241E"/>
    <w:rsid w:val="00B93513"/>
    <w:rsid w:val="00B93740"/>
    <w:rsid w:val="00B93958"/>
    <w:rsid w:val="00B940B4"/>
    <w:rsid w:val="00B941FB"/>
    <w:rsid w:val="00B9523A"/>
    <w:rsid w:val="00B95911"/>
    <w:rsid w:val="00B963D0"/>
    <w:rsid w:val="00B96B24"/>
    <w:rsid w:val="00B96B45"/>
    <w:rsid w:val="00B9768F"/>
    <w:rsid w:val="00BA11B2"/>
    <w:rsid w:val="00BA792B"/>
    <w:rsid w:val="00BB0106"/>
    <w:rsid w:val="00BB2601"/>
    <w:rsid w:val="00BB3565"/>
    <w:rsid w:val="00BC1BB3"/>
    <w:rsid w:val="00BC749A"/>
    <w:rsid w:val="00BD0F50"/>
    <w:rsid w:val="00BD1071"/>
    <w:rsid w:val="00BD60F6"/>
    <w:rsid w:val="00BD64D2"/>
    <w:rsid w:val="00BE01D8"/>
    <w:rsid w:val="00BE0721"/>
    <w:rsid w:val="00BE32C7"/>
    <w:rsid w:val="00BE4104"/>
    <w:rsid w:val="00BE587A"/>
    <w:rsid w:val="00BF0ED1"/>
    <w:rsid w:val="00BF14F5"/>
    <w:rsid w:val="00BF1513"/>
    <w:rsid w:val="00BF4BB1"/>
    <w:rsid w:val="00C07C33"/>
    <w:rsid w:val="00C10A9D"/>
    <w:rsid w:val="00C1263F"/>
    <w:rsid w:val="00C1746A"/>
    <w:rsid w:val="00C207ED"/>
    <w:rsid w:val="00C21495"/>
    <w:rsid w:val="00C3166B"/>
    <w:rsid w:val="00C31807"/>
    <w:rsid w:val="00C35E20"/>
    <w:rsid w:val="00C37189"/>
    <w:rsid w:val="00C41127"/>
    <w:rsid w:val="00C42E6E"/>
    <w:rsid w:val="00C43994"/>
    <w:rsid w:val="00C46B64"/>
    <w:rsid w:val="00C4746F"/>
    <w:rsid w:val="00C53194"/>
    <w:rsid w:val="00C56315"/>
    <w:rsid w:val="00C623FE"/>
    <w:rsid w:val="00C6337B"/>
    <w:rsid w:val="00C65E80"/>
    <w:rsid w:val="00C667C0"/>
    <w:rsid w:val="00C672FD"/>
    <w:rsid w:val="00C701E4"/>
    <w:rsid w:val="00C71F19"/>
    <w:rsid w:val="00C73B04"/>
    <w:rsid w:val="00C76651"/>
    <w:rsid w:val="00C816DC"/>
    <w:rsid w:val="00C84CE8"/>
    <w:rsid w:val="00C93474"/>
    <w:rsid w:val="00C94725"/>
    <w:rsid w:val="00C94C55"/>
    <w:rsid w:val="00C94F1E"/>
    <w:rsid w:val="00C960C2"/>
    <w:rsid w:val="00C96A33"/>
    <w:rsid w:val="00C96C3D"/>
    <w:rsid w:val="00CA49B9"/>
    <w:rsid w:val="00CB3DC7"/>
    <w:rsid w:val="00CB4E8D"/>
    <w:rsid w:val="00CC17EA"/>
    <w:rsid w:val="00CC1C60"/>
    <w:rsid w:val="00CC2680"/>
    <w:rsid w:val="00CC3D5E"/>
    <w:rsid w:val="00CC4215"/>
    <w:rsid w:val="00CC69EA"/>
    <w:rsid w:val="00CC7C87"/>
    <w:rsid w:val="00CD70FD"/>
    <w:rsid w:val="00CD7FEC"/>
    <w:rsid w:val="00CE0CF7"/>
    <w:rsid w:val="00CE2490"/>
    <w:rsid w:val="00CE3419"/>
    <w:rsid w:val="00CE60CD"/>
    <w:rsid w:val="00CF07D9"/>
    <w:rsid w:val="00CF1580"/>
    <w:rsid w:val="00CF20D8"/>
    <w:rsid w:val="00CF228D"/>
    <w:rsid w:val="00D029B9"/>
    <w:rsid w:val="00D11502"/>
    <w:rsid w:val="00D12016"/>
    <w:rsid w:val="00D17A92"/>
    <w:rsid w:val="00D20521"/>
    <w:rsid w:val="00D21A8A"/>
    <w:rsid w:val="00D24CC1"/>
    <w:rsid w:val="00D30A4B"/>
    <w:rsid w:val="00D30FA1"/>
    <w:rsid w:val="00D31FA9"/>
    <w:rsid w:val="00D34760"/>
    <w:rsid w:val="00D41594"/>
    <w:rsid w:val="00D4180A"/>
    <w:rsid w:val="00D42125"/>
    <w:rsid w:val="00D465E4"/>
    <w:rsid w:val="00D46A46"/>
    <w:rsid w:val="00D47E57"/>
    <w:rsid w:val="00D5423C"/>
    <w:rsid w:val="00D563DB"/>
    <w:rsid w:val="00D569F0"/>
    <w:rsid w:val="00D57E7C"/>
    <w:rsid w:val="00D60521"/>
    <w:rsid w:val="00D60A93"/>
    <w:rsid w:val="00D6428E"/>
    <w:rsid w:val="00D643FF"/>
    <w:rsid w:val="00D67B35"/>
    <w:rsid w:val="00D82D34"/>
    <w:rsid w:val="00D8330C"/>
    <w:rsid w:val="00D86288"/>
    <w:rsid w:val="00D87439"/>
    <w:rsid w:val="00D8795B"/>
    <w:rsid w:val="00D90B21"/>
    <w:rsid w:val="00D92AAA"/>
    <w:rsid w:val="00D95A30"/>
    <w:rsid w:val="00D96A8E"/>
    <w:rsid w:val="00DA1304"/>
    <w:rsid w:val="00DA13C7"/>
    <w:rsid w:val="00DA24B6"/>
    <w:rsid w:val="00DA32C7"/>
    <w:rsid w:val="00DA5431"/>
    <w:rsid w:val="00DB1C07"/>
    <w:rsid w:val="00DB2458"/>
    <w:rsid w:val="00DB2D30"/>
    <w:rsid w:val="00DB4356"/>
    <w:rsid w:val="00DB44C2"/>
    <w:rsid w:val="00DB4FF2"/>
    <w:rsid w:val="00DB733A"/>
    <w:rsid w:val="00DC24D0"/>
    <w:rsid w:val="00DC3575"/>
    <w:rsid w:val="00DC3C48"/>
    <w:rsid w:val="00DC59AA"/>
    <w:rsid w:val="00DC64EB"/>
    <w:rsid w:val="00DD0597"/>
    <w:rsid w:val="00DD32B9"/>
    <w:rsid w:val="00DD3624"/>
    <w:rsid w:val="00DD45DC"/>
    <w:rsid w:val="00DD4643"/>
    <w:rsid w:val="00DE191D"/>
    <w:rsid w:val="00DE3C89"/>
    <w:rsid w:val="00DE3F64"/>
    <w:rsid w:val="00DE40B9"/>
    <w:rsid w:val="00DE45D7"/>
    <w:rsid w:val="00DE62A3"/>
    <w:rsid w:val="00DF0104"/>
    <w:rsid w:val="00DF0AB0"/>
    <w:rsid w:val="00DF205A"/>
    <w:rsid w:val="00E00C42"/>
    <w:rsid w:val="00E01FE0"/>
    <w:rsid w:val="00E06C4D"/>
    <w:rsid w:val="00E11276"/>
    <w:rsid w:val="00E12CD7"/>
    <w:rsid w:val="00E1346A"/>
    <w:rsid w:val="00E1450A"/>
    <w:rsid w:val="00E1669A"/>
    <w:rsid w:val="00E2011C"/>
    <w:rsid w:val="00E24A92"/>
    <w:rsid w:val="00E34D3A"/>
    <w:rsid w:val="00E34DA1"/>
    <w:rsid w:val="00E3506C"/>
    <w:rsid w:val="00E3731D"/>
    <w:rsid w:val="00E4221E"/>
    <w:rsid w:val="00E42A64"/>
    <w:rsid w:val="00E4497E"/>
    <w:rsid w:val="00E46B23"/>
    <w:rsid w:val="00E5098A"/>
    <w:rsid w:val="00E50C5F"/>
    <w:rsid w:val="00E53B4C"/>
    <w:rsid w:val="00E53D93"/>
    <w:rsid w:val="00E54746"/>
    <w:rsid w:val="00E5556E"/>
    <w:rsid w:val="00E56FF6"/>
    <w:rsid w:val="00E623BE"/>
    <w:rsid w:val="00E64ACE"/>
    <w:rsid w:val="00E7181A"/>
    <w:rsid w:val="00E71B97"/>
    <w:rsid w:val="00E72DF2"/>
    <w:rsid w:val="00E73D72"/>
    <w:rsid w:val="00E73D7F"/>
    <w:rsid w:val="00E74BA7"/>
    <w:rsid w:val="00E74C21"/>
    <w:rsid w:val="00E768FB"/>
    <w:rsid w:val="00E76B91"/>
    <w:rsid w:val="00E7792A"/>
    <w:rsid w:val="00E8025F"/>
    <w:rsid w:val="00E82796"/>
    <w:rsid w:val="00E83712"/>
    <w:rsid w:val="00E84DA4"/>
    <w:rsid w:val="00E85801"/>
    <w:rsid w:val="00EA09C7"/>
    <w:rsid w:val="00EA194B"/>
    <w:rsid w:val="00EA2F42"/>
    <w:rsid w:val="00EA572C"/>
    <w:rsid w:val="00EA6160"/>
    <w:rsid w:val="00EA6B34"/>
    <w:rsid w:val="00EB1460"/>
    <w:rsid w:val="00EB1F06"/>
    <w:rsid w:val="00EC61E8"/>
    <w:rsid w:val="00EC7092"/>
    <w:rsid w:val="00ED1240"/>
    <w:rsid w:val="00EE21DD"/>
    <w:rsid w:val="00EE25AD"/>
    <w:rsid w:val="00EE3C78"/>
    <w:rsid w:val="00EE5694"/>
    <w:rsid w:val="00EE6FB0"/>
    <w:rsid w:val="00EF08C9"/>
    <w:rsid w:val="00EF17D4"/>
    <w:rsid w:val="00EF1A02"/>
    <w:rsid w:val="00EF3301"/>
    <w:rsid w:val="00EF4909"/>
    <w:rsid w:val="00EF4DDB"/>
    <w:rsid w:val="00EF7249"/>
    <w:rsid w:val="00EF7DBF"/>
    <w:rsid w:val="00F0135A"/>
    <w:rsid w:val="00F044C4"/>
    <w:rsid w:val="00F044FD"/>
    <w:rsid w:val="00F07201"/>
    <w:rsid w:val="00F07E77"/>
    <w:rsid w:val="00F10A2D"/>
    <w:rsid w:val="00F11119"/>
    <w:rsid w:val="00F131FE"/>
    <w:rsid w:val="00F137BD"/>
    <w:rsid w:val="00F1420E"/>
    <w:rsid w:val="00F20460"/>
    <w:rsid w:val="00F25E44"/>
    <w:rsid w:val="00F268CF"/>
    <w:rsid w:val="00F26984"/>
    <w:rsid w:val="00F26C37"/>
    <w:rsid w:val="00F275B3"/>
    <w:rsid w:val="00F31605"/>
    <w:rsid w:val="00F3449F"/>
    <w:rsid w:val="00F3522D"/>
    <w:rsid w:val="00F36C03"/>
    <w:rsid w:val="00F3755A"/>
    <w:rsid w:val="00F442DE"/>
    <w:rsid w:val="00F467B7"/>
    <w:rsid w:val="00F50D72"/>
    <w:rsid w:val="00F53C18"/>
    <w:rsid w:val="00F575D9"/>
    <w:rsid w:val="00F57B99"/>
    <w:rsid w:val="00F6075B"/>
    <w:rsid w:val="00F7090C"/>
    <w:rsid w:val="00F7563F"/>
    <w:rsid w:val="00F8025F"/>
    <w:rsid w:val="00F83869"/>
    <w:rsid w:val="00F8628F"/>
    <w:rsid w:val="00F876B1"/>
    <w:rsid w:val="00F911DC"/>
    <w:rsid w:val="00F96E50"/>
    <w:rsid w:val="00FA0B25"/>
    <w:rsid w:val="00FA183A"/>
    <w:rsid w:val="00FA1DA2"/>
    <w:rsid w:val="00FA2E9F"/>
    <w:rsid w:val="00FA403B"/>
    <w:rsid w:val="00FB090C"/>
    <w:rsid w:val="00FB1940"/>
    <w:rsid w:val="00FB2A3F"/>
    <w:rsid w:val="00FB2C2F"/>
    <w:rsid w:val="00FB6AAC"/>
    <w:rsid w:val="00FB7211"/>
    <w:rsid w:val="00FB7B68"/>
    <w:rsid w:val="00FC5E9F"/>
    <w:rsid w:val="00FD0F4D"/>
    <w:rsid w:val="00FD3FE5"/>
    <w:rsid w:val="00FD41EE"/>
    <w:rsid w:val="00FD4A81"/>
    <w:rsid w:val="00FD54FA"/>
    <w:rsid w:val="00FD61D4"/>
    <w:rsid w:val="00FD685E"/>
    <w:rsid w:val="00FE06E1"/>
    <w:rsid w:val="00FE1157"/>
    <w:rsid w:val="00FE251A"/>
    <w:rsid w:val="00FE30C7"/>
    <w:rsid w:val="00FE423B"/>
    <w:rsid w:val="00FE61F3"/>
    <w:rsid w:val="00FE7911"/>
    <w:rsid w:val="00FE7DF4"/>
    <w:rsid w:val="00FF1CD7"/>
    <w:rsid w:val="00FF486C"/>
    <w:rsid w:val="00FF58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2D38"/>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F8628F"/>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F8628F"/>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semiHidden/>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qFormat/>
    <w:rsid w:val="00281EF7"/>
    <w:rPr>
      <w:i/>
      <w:iCs/>
      <w:color w:val="70AD47" w:themeColor="accent6"/>
    </w:rPr>
  </w:style>
  <w:style w:type="paragraph" w:styleId="Nessunaspaziatura">
    <w:name w:val="No Spacing"/>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EE6FB0"/>
    <w:pPr>
      <w:tabs>
        <w:tab w:val="left" w:pos="7938"/>
      </w:tabs>
      <w:spacing w:after="0" w:line="0" w:lineRule="atLeast"/>
      <w:ind w:left="284" w:hanging="284"/>
    </w:pPr>
    <w:rPr>
      <w:rFonts w:cs="Calibri (Corpo)"/>
      <w:bCs/>
      <w:noProof/>
      <w:szCs w:val="22"/>
    </w:rPr>
  </w:style>
  <w:style w:type="paragraph" w:styleId="Sommario2">
    <w:name w:val="toc 2"/>
    <w:basedOn w:val="Normale"/>
    <w:next w:val="Normale"/>
    <w:autoRedefine/>
    <w:uiPriority w:val="39"/>
    <w:unhideWhenUsed/>
    <w:rsid w:val="00F8628F"/>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F8628F"/>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5601B4"/>
    <w:rPr>
      <w:sz w:val="20"/>
      <w:szCs w:val="20"/>
      <w:lang w:eastAsia="it-IT"/>
    </w:rPr>
  </w:style>
  <w:style w:type="character" w:styleId="Rimandocommento">
    <w:name w:val="annotation reference"/>
    <w:basedOn w:val="Carpredefinitoparagrafo"/>
    <w:unhideWhenUsed/>
    <w:rsid w:val="005601B4"/>
    <w:rPr>
      <w:sz w:val="16"/>
      <w:szCs w:val="16"/>
    </w:rPr>
  </w:style>
  <w:style w:type="paragraph" w:styleId="Testofumetto">
    <w:name w:val="Balloon Text"/>
    <w:basedOn w:val="Normale"/>
    <w:link w:val="TestofumettoCarattere"/>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944B2E"/>
    <w:rPr>
      <w:rFonts w:ascii="Tahoma" w:hAnsi="Tahoma" w:cs="Tahoma"/>
      <w:color w:val="404040" w:themeColor="text1" w:themeTint="BF"/>
      <w:sz w:val="16"/>
      <w:szCs w:val="16"/>
    </w:rPr>
  </w:style>
  <w:style w:type="paragraph" w:styleId="Revisione">
    <w:name w:val="Revision"/>
    <w:hidden/>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0F434D"/>
    <w:rPr>
      <w:w w:val="100"/>
      <w:position w:val="-1"/>
      <w:effect w:val="none"/>
      <w:vertAlign w:val="baseline"/>
      <w:cs w:val="0"/>
      <w:em w:val="none"/>
    </w:rPr>
  </w:style>
  <w:style w:type="paragraph" w:styleId="PreformattatoHTML">
    <w:name w:val="HTML Preformatted"/>
    <w:basedOn w:val="Normale"/>
    <w:link w:val="PreformattatoHTMLCarattere"/>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827866677">
      <w:bodyDiv w:val="1"/>
      <w:marLeft w:val="0"/>
      <w:marRight w:val="0"/>
      <w:marTop w:val="0"/>
      <w:marBottom w:val="0"/>
      <w:divBdr>
        <w:top w:val="none" w:sz="0" w:space="0" w:color="auto"/>
        <w:left w:val="none" w:sz="0" w:space="0" w:color="auto"/>
        <w:bottom w:val="none" w:sz="0" w:space="0" w:color="auto"/>
        <w:right w:val="none" w:sz="0" w:space="0" w:color="auto"/>
      </w:divBdr>
    </w:div>
    <w:div w:id="19554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7.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finanzalocale.interno.it/docum/studi/varie/testounico267-2000.pdf"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hyperlink" Target="https://lapostadelsindaco.it/servizi-pubblica-amministrazione/44023/" TargetMode="External"/><Relationship Id="rId10" Type="http://schemas.openxmlformats.org/officeDocument/2006/relationships/endnotes" Target="endnotes.xml"/><Relationship Id="rId19" Type="http://schemas.openxmlformats.org/officeDocument/2006/relationships/hyperlink" Target="http://finanzalocale.interno.it/docum/studi/varie/testounico267-2000.pdf"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hyperlink" Target="https://www.normattiva.it/uri-res/N2Ls?urn:nir:stato:decreto.legislativo:2000-08-18;267" TargetMode="External"/><Relationship Id="rId30" Type="http://schemas.openxmlformats.org/officeDocument/2006/relationships/package" Target="embeddings/Microsoft_Excel_Worksheet1.xlsx"/><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8D56C1-4C83-4F81-9F9D-F653D4592DFB}">
  <ds:schemaRefs>
    <ds:schemaRef ds:uri="http://schemas.microsoft.com/sharepoint/v3/contenttype/forms"/>
  </ds:schemaRefs>
</ds:datastoreItem>
</file>

<file path=customXml/itemProps2.xml><?xml version="1.0" encoding="utf-8"?>
<ds:datastoreItem xmlns:ds="http://schemas.openxmlformats.org/officeDocument/2006/customXml" ds:itemID="{D32CA52C-AE1E-4146-B9D1-9A3B9290D32C}">
  <ds:schemaRefs>
    <ds:schemaRef ds:uri="http://schemas.microsoft.com/office/2006/metadata/properties"/>
    <ds:schemaRef ds:uri="http://schemas.microsoft.com/office/infopath/2007/PartnerControls"/>
    <ds:schemaRef ds:uri="5a2ba1fa-559d-4c3c-83b6-0451cadb29a5"/>
    <ds:schemaRef ds:uri="25ac2abd-8607-4000-bac3-714b562db7e6"/>
  </ds:schemaRefs>
</ds:datastoreItem>
</file>

<file path=customXml/itemProps3.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customXml/itemProps4.xml><?xml version="1.0" encoding="utf-8"?>
<ds:datastoreItem xmlns:ds="http://schemas.openxmlformats.org/officeDocument/2006/customXml" ds:itemID="{A6A6038A-99FD-43F4-A01B-3B7F3CDF0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a1fa-559d-4c3c-83b6-0451cadb29a5"/>
    <ds:schemaRef ds:uri="25ac2abd-8607-4000-bac3-714b562d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48</Pages>
  <Words>16022</Words>
  <Characters>91327</Characters>
  <Application>Microsoft Office Word</Application>
  <DocSecurity>0</DocSecurity>
  <Lines>761</Lines>
  <Paragraphs>214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Anna De Toni</cp:lastModifiedBy>
  <cp:revision>73</cp:revision>
  <cp:lastPrinted>2023-09-28T10:04:00Z</cp:lastPrinted>
  <dcterms:created xsi:type="dcterms:W3CDTF">2025-11-03T05:24:00Z</dcterms:created>
  <dcterms:modified xsi:type="dcterms:W3CDTF">2026-01-20T13:01:00Z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ies>
</file>