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20CE" w:rsidRDefault="003D20CE" w:rsidP="00554113">
      <w:pPr>
        <w:pStyle w:val="Paragrafoelenco"/>
        <w:numPr>
          <w:ilvl w:val="0"/>
          <w:numId w:val="1"/>
        </w:numPr>
        <w:jc w:val="both"/>
        <w:rPr>
          <w:rFonts w:ascii="Garamond" w:hAnsi="Garamond"/>
        </w:rPr>
      </w:pPr>
      <w:r w:rsidRPr="00554113">
        <w:rPr>
          <w:rFonts w:ascii="Garamond" w:hAnsi="Garamond"/>
        </w:rPr>
        <w:t xml:space="preserve">Se il Comune non ha l’Amministratore </w:t>
      </w:r>
      <w:r w:rsidR="007F572C" w:rsidRPr="00554113">
        <w:rPr>
          <w:rFonts w:ascii="Garamond" w:hAnsi="Garamond"/>
        </w:rPr>
        <w:t>SGATE</w:t>
      </w:r>
      <w:r w:rsidRPr="00554113">
        <w:rPr>
          <w:rFonts w:ascii="Garamond" w:hAnsi="Garamond"/>
        </w:rPr>
        <w:t xml:space="preserve"> iscritto deve inviare il Modulo 1 con </w:t>
      </w:r>
      <w:r w:rsidRPr="00243F4B">
        <w:rPr>
          <w:rFonts w:ascii="Garamond" w:hAnsi="Garamond"/>
        </w:rPr>
        <w:t xml:space="preserve">individuazione </w:t>
      </w:r>
      <w:r w:rsidRPr="00554113">
        <w:rPr>
          <w:rFonts w:ascii="Garamond" w:hAnsi="Garamond"/>
        </w:rPr>
        <w:t xml:space="preserve">dell’Amministratore, </w:t>
      </w:r>
      <w:r w:rsidRPr="00243F4B">
        <w:rPr>
          <w:rFonts w:ascii="Garamond" w:hAnsi="Garamond"/>
        </w:rPr>
        <w:t xml:space="preserve">a firma </w:t>
      </w:r>
      <w:r w:rsidRPr="00554113">
        <w:rPr>
          <w:rFonts w:ascii="Garamond" w:hAnsi="Garamond"/>
        </w:rPr>
        <w:t>S</w:t>
      </w:r>
      <w:r w:rsidRPr="00243F4B">
        <w:rPr>
          <w:rFonts w:ascii="Garamond" w:hAnsi="Garamond"/>
        </w:rPr>
        <w:t>indaco</w:t>
      </w:r>
      <w:r w:rsidRPr="00554113">
        <w:rPr>
          <w:rFonts w:ascii="Garamond" w:hAnsi="Garamond"/>
        </w:rPr>
        <w:t>. Al modulo deve essere allegata la delega del Sindaco se viene nominato come Amministratore una persona diversa dal Sindaco</w:t>
      </w:r>
      <w:r w:rsidRPr="00554113">
        <w:rPr>
          <w:rStyle w:val="Rimandonotaapidipagina"/>
          <w:rFonts w:ascii="Garamond" w:hAnsi="Garamond"/>
        </w:rPr>
        <w:footnoteReference w:id="1"/>
      </w:r>
      <w:r w:rsidR="009E44D1">
        <w:rPr>
          <w:rFonts w:ascii="Garamond" w:hAnsi="Garamond"/>
        </w:rPr>
        <w:t>;</w:t>
      </w:r>
      <w:r w:rsidR="00FA3782">
        <w:rPr>
          <w:rFonts w:ascii="Garamond" w:hAnsi="Garamond"/>
        </w:rPr>
        <w:t xml:space="preserve"> il Modulo 1 va inviato via </w:t>
      </w:r>
      <w:proofErr w:type="spellStart"/>
      <w:r w:rsidR="00FA3782">
        <w:rPr>
          <w:rFonts w:ascii="Garamond" w:hAnsi="Garamond"/>
        </w:rPr>
        <w:t>pec</w:t>
      </w:r>
      <w:proofErr w:type="spellEnd"/>
      <w:r w:rsidR="00FA3782">
        <w:rPr>
          <w:rFonts w:ascii="Garamond" w:hAnsi="Garamond"/>
        </w:rPr>
        <w:t xml:space="preserve"> </w:t>
      </w:r>
      <w:r w:rsidR="00A64A49">
        <w:rPr>
          <w:rFonts w:ascii="Garamond" w:hAnsi="Garamond"/>
        </w:rPr>
        <w:t xml:space="preserve">a </w:t>
      </w:r>
      <w:hyperlink r:id="rId7" w:history="1">
        <w:r w:rsidR="00A64A49" w:rsidRPr="00B4309D">
          <w:rPr>
            <w:rStyle w:val="Collegamentoipertestuale"/>
            <w:rFonts w:ascii="Garamond" w:hAnsi="Garamond"/>
          </w:rPr>
          <w:t>sgate@pec.anci.it</w:t>
        </w:r>
      </w:hyperlink>
      <w:r w:rsidR="00A64A49">
        <w:rPr>
          <w:rFonts w:ascii="Garamond" w:hAnsi="Garamond"/>
        </w:rPr>
        <w:t>, che successivamente rilasciano le opportune abilitazioni;</w:t>
      </w:r>
      <w:r w:rsidR="00E813B1">
        <w:rPr>
          <w:rStyle w:val="Rimandonotaapidipagina"/>
          <w:rFonts w:ascii="Garamond" w:hAnsi="Garamond"/>
        </w:rPr>
        <w:footnoteReference w:id="2"/>
      </w:r>
    </w:p>
    <w:p w:rsidR="009E44D1" w:rsidRDefault="009E44D1" w:rsidP="00554113">
      <w:pPr>
        <w:pStyle w:val="Paragrafoelenco"/>
        <w:numPr>
          <w:ilvl w:val="0"/>
          <w:numId w:val="1"/>
        </w:numPr>
        <w:jc w:val="both"/>
        <w:rPr>
          <w:rFonts w:ascii="Garamond" w:hAnsi="Garamond"/>
        </w:rPr>
      </w:pPr>
      <w:r>
        <w:rPr>
          <w:rFonts w:ascii="Garamond" w:hAnsi="Garamond"/>
        </w:rPr>
        <w:t>Se il Comune ha l’Amministratore censito, ma vuole/deve sostituirlo, si procede come indicato nel punto 1);</w:t>
      </w:r>
    </w:p>
    <w:p w:rsidR="009E44D1" w:rsidRDefault="009E44D1" w:rsidP="00554113">
      <w:pPr>
        <w:pStyle w:val="Paragrafoelenco"/>
        <w:numPr>
          <w:ilvl w:val="0"/>
          <w:numId w:val="1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Tutti i Comuni sono stati trasmessi da ATRIF a </w:t>
      </w:r>
      <w:r w:rsidR="007F572C" w:rsidRPr="00554113">
        <w:rPr>
          <w:rFonts w:ascii="Garamond" w:hAnsi="Garamond"/>
        </w:rPr>
        <w:t>SGATE</w:t>
      </w:r>
      <w:r>
        <w:rPr>
          <w:rFonts w:ascii="Garamond" w:hAnsi="Garamond"/>
        </w:rPr>
        <w:t xml:space="preserve"> come Enti Erogatori</w:t>
      </w:r>
      <w:r w:rsidR="00E813B1">
        <w:rPr>
          <w:rFonts w:ascii="Garamond" w:hAnsi="Garamond"/>
        </w:rPr>
        <w:t>;</w:t>
      </w:r>
    </w:p>
    <w:p w:rsidR="009E44D1" w:rsidRDefault="009E44D1" w:rsidP="00554113">
      <w:pPr>
        <w:pStyle w:val="Paragrafoelenco"/>
        <w:numPr>
          <w:ilvl w:val="0"/>
          <w:numId w:val="1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Il Comune con </w:t>
      </w:r>
      <w:r w:rsidR="007F572C">
        <w:rPr>
          <w:rFonts w:ascii="Garamond" w:hAnsi="Garamond"/>
        </w:rPr>
        <w:t xml:space="preserve">Amministratore </w:t>
      </w:r>
      <w:r w:rsidR="007F572C" w:rsidRPr="00554113">
        <w:rPr>
          <w:rFonts w:ascii="Garamond" w:hAnsi="Garamond"/>
        </w:rPr>
        <w:t>SGATE</w:t>
      </w:r>
      <w:r w:rsidR="007F572C">
        <w:rPr>
          <w:rFonts w:ascii="Garamond" w:hAnsi="Garamond"/>
        </w:rPr>
        <w:t xml:space="preserve"> deve nominare ANCI come “Responsabile del tratta</w:t>
      </w:r>
      <w:r w:rsidR="00E061CE">
        <w:rPr>
          <w:rFonts w:ascii="Garamond" w:hAnsi="Garamond"/>
        </w:rPr>
        <w:t>mento dei dati personali” utilizzano il Modulo “accordo di nomina del responsabile del trattamento dei dati personali (presente in SGATE); il modulo deve essere firmato dal Sindaco</w:t>
      </w:r>
      <w:r w:rsidR="00FA3782">
        <w:rPr>
          <w:rFonts w:ascii="Garamond" w:hAnsi="Garamond"/>
        </w:rPr>
        <w:t xml:space="preserve"> (legale rappresentante dell’ente</w:t>
      </w:r>
      <w:r w:rsidR="00E813B1">
        <w:rPr>
          <w:rFonts w:ascii="Garamond" w:hAnsi="Garamond"/>
        </w:rPr>
        <w:t>)</w:t>
      </w:r>
      <w:r w:rsidR="00FA3782">
        <w:rPr>
          <w:rFonts w:ascii="Garamond" w:hAnsi="Garamond"/>
        </w:rPr>
        <w:t>;</w:t>
      </w:r>
      <w:r w:rsidR="00E813B1">
        <w:rPr>
          <w:rFonts w:ascii="Garamond" w:hAnsi="Garamond"/>
        </w:rPr>
        <w:t xml:space="preserve"> questo modulo deve essere caricato al primo accesso per l’abilitazione alle funzioni successive;</w:t>
      </w:r>
    </w:p>
    <w:p w:rsidR="00FA3782" w:rsidRDefault="00A0683C" w:rsidP="00554113">
      <w:pPr>
        <w:pStyle w:val="Paragrafoelenco"/>
        <w:numPr>
          <w:ilvl w:val="0"/>
          <w:numId w:val="1"/>
        </w:numPr>
        <w:jc w:val="both"/>
        <w:rPr>
          <w:rFonts w:ascii="Garamond" w:hAnsi="Garamond"/>
        </w:rPr>
      </w:pPr>
      <w:r>
        <w:rPr>
          <w:rFonts w:ascii="Garamond" w:hAnsi="Garamond"/>
        </w:rPr>
        <w:t>Il Comune procede all’associazione del GTRU, accedendo alla sezione “gestione gestori”. Se vi sono più gestori, occorre associarne solo uno;</w:t>
      </w:r>
    </w:p>
    <w:p w:rsidR="00A0683C" w:rsidRDefault="00A0683C" w:rsidP="00554113">
      <w:pPr>
        <w:pStyle w:val="Paragrafoelenco"/>
        <w:numPr>
          <w:ilvl w:val="0"/>
          <w:numId w:val="1"/>
        </w:numPr>
        <w:jc w:val="both"/>
        <w:rPr>
          <w:rFonts w:ascii="Garamond" w:hAnsi="Garamond"/>
        </w:rPr>
      </w:pPr>
      <w:r>
        <w:rPr>
          <w:rFonts w:ascii="Garamond" w:hAnsi="Garamond"/>
        </w:rPr>
        <w:t>Se il Comune non trova nella sezione “gestione gestori” il proprio gestore, allora il Gestore rifiuti deve prima censirsi in ATRIF.</w:t>
      </w:r>
    </w:p>
    <w:p w:rsidR="00E061CE" w:rsidRPr="00A0683C" w:rsidRDefault="00E061CE" w:rsidP="00554113">
      <w:pPr>
        <w:jc w:val="both"/>
        <w:rPr>
          <w:rFonts w:ascii="Garamond" w:hAnsi="Garamond"/>
          <w:b/>
          <w:bCs/>
        </w:rPr>
      </w:pPr>
      <w:r w:rsidRPr="00A0683C">
        <w:rPr>
          <w:rFonts w:ascii="Garamond" w:hAnsi="Garamond"/>
          <w:b/>
          <w:bCs/>
        </w:rPr>
        <w:t>Link webinar 9 gennaio 2026 e materiale informativo</w:t>
      </w:r>
    </w:p>
    <w:p w:rsidR="00E061CE" w:rsidRDefault="00E061CE" w:rsidP="00554113">
      <w:pPr>
        <w:jc w:val="both"/>
        <w:rPr>
          <w:rFonts w:ascii="Garamond" w:hAnsi="Garamond"/>
        </w:rPr>
      </w:pPr>
      <w:hyperlink r:id="rId8" w:history="1">
        <w:r w:rsidRPr="00B4309D">
          <w:rPr>
            <w:rStyle w:val="Collegamentoipertestuale"/>
            <w:rFonts w:ascii="Garamond" w:hAnsi="Garamond"/>
          </w:rPr>
          <w:t>https://sgate.anci.it/atti-del-webin</w:t>
        </w:r>
        <w:r w:rsidRPr="00B4309D">
          <w:rPr>
            <w:rStyle w:val="Collegamentoipertestuale"/>
            <w:rFonts w:ascii="Garamond" w:hAnsi="Garamond"/>
          </w:rPr>
          <w:t>a</w:t>
        </w:r>
        <w:r w:rsidRPr="00B4309D">
          <w:rPr>
            <w:rStyle w:val="Collegamentoipertestuale"/>
            <w:rFonts w:ascii="Garamond" w:hAnsi="Garamond"/>
          </w:rPr>
          <w:t>r-9-gennaio-2026-la-gestione-del-bonus-sociale-rifiuti-loperativita-nel-sistema-sgate/</w:t>
        </w:r>
      </w:hyperlink>
    </w:p>
    <w:p w:rsidR="00243F4B" w:rsidRPr="00554113" w:rsidRDefault="00243F4B" w:rsidP="00554113">
      <w:pPr>
        <w:jc w:val="both"/>
        <w:rPr>
          <w:rFonts w:ascii="Garamond" w:hAnsi="Garamond"/>
        </w:rPr>
      </w:pPr>
      <w:r w:rsidRPr="00554113">
        <w:rPr>
          <w:rFonts w:ascii="Garamond" w:hAnsi="Garamond"/>
        </w:rPr>
        <w:br w:type="page"/>
      </w:r>
    </w:p>
    <w:p w:rsidR="00243F4B" w:rsidRPr="00554113" w:rsidRDefault="00243F4B" w:rsidP="00554113">
      <w:pPr>
        <w:jc w:val="both"/>
        <w:rPr>
          <w:rFonts w:ascii="Garamond" w:hAnsi="Garamond"/>
        </w:rPr>
      </w:pPr>
      <w:r w:rsidRPr="00554113">
        <w:rPr>
          <w:rFonts w:ascii="Garamond" w:hAnsi="Garamond"/>
          <w:noProof/>
        </w:rPr>
        <w:lastRenderedPageBreak/>
        <w:drawing>
          <wp:inline distT="0" distB="0" distL="0" distR="0" wp14:anchorId="3E301104" wp14:editId="7FDD8E1C">
            <wp:extent cx="6120130" cy="2974340"/>
            <wp:effectExtent l="0" t="0" r="0" b="0"/>
            <wp:docPr id="109663522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63522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97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3F4B" w:rsidRPr="00554113" w:rsidRDefault="00243F4B" w:rsidP="00554113">
      <w:pPr>
        <w:jc w:val="both"/>
        <w:rPr>
          <w:rFonts w:ascii="Garamond" w:hAnsi="Garamond"/>
        </w:rPr>
      </w:pPr>
    </w:p>
    <w:p w:rsidR="00243F4B" w:rsidRPr="00554113" w:rsidRDefault="00243F4B" w:rsidP="00554113">
      <w:pPr>
        <w:jc w:val="both"/>
        <w:rPr>
          <w:rFonts w:ascii="Garamond" w:hAnsi="Garamond"/>
        </w:rPr>
      </w:pPr>
      <w:r w:rsidRPr="00554113">
        <w:rPr>
          <w:rFonts w:ascii="Garamond" w:hAnsi="Garamond"/>
          <w:noProof/>
        </w:rPr>
        <w:drawing>
          <wp:inline distT="0" distB="0" distL="0" distR="0" wp14:anchorId="4B58D24F" wp14:editId="459B6287">
            <wp:extent cx="6120130" cy="3599180"/>
            <wp:effectExtent l="0" t="0" r="0" b="1270"/>
            <wp:docPr id="148291427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91427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599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3F4B" w:rsidRPr="00554113" w:rsidRDefault="00243F4B" w:rsidP="00554113">
      <w:pPr>
        <w:jc w:val="both"/>
        <w:rPr>
          <w:rFonts w:ascii="Garamond" w:hAnsi="Garamond"/>
        </w:rPr>
      </w:pPr>
      <w:r w:rsidRPr="00554113">
        <w:rPr>
          <w:rFonts w:ascii="Garamond" w:hAnsi="Garamond"/>
          <w:noProof/>
        </w:rPr>
        <w:lastRenderedPageBreak/>
        <w:drawing>
          <wp:inline distT="0" distB="0" distL="0" distR="0" wp14:anchorId="09A1469B" wp14:editId="5EE8E798">
            <wp:extent cx="6120130" cy="3428365"/>
            <wp:effectExtent l="0" t="0" r="0" b="635"/>
            <wp:docPr id="60310426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104263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28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3F4B" w:rsidRPr="00554113" w:rsidRDefault="00243F4B" w:rsidP="00554113">
      <w:pPr>
        <w:jc w:val="both"/>
        <w:rPr>
          <w:rFonts w:ascii="Garamond" w:hAnsi="Garamond"/>
        </w:rPr>
      </w:pPr>
    </w:p>
    <w:p w:rsidR="00243F4B" w:rsidRPr="00554113" w:rsidRDefault="00243F4B" w:rsidP="00554113">
      <w:pPr>
        <w:jc w:val="both"/>
        <w:rPr>
          <w:rFonts w:ascii="Garamond" w:hAnsi="Garamond"/>
        </w:rPr>
      </w:pPr>
      <w:r w:rsidRPr="00554113">
        <w:rPr>
          <w:rFonts w:ascii="Garamond" w:hAnsi="Garamond"/>
          <w:noProof/>
        </w:rPr>
        <w:drawing>
          <wp:inline distT="0" distB="0" distL="0" distR="0" wp14:anchorId="46FA229E" wp14:editId="50CBE61F">
            <wp:extent cx="6120130" cy="3326130"/>
            <wp:effectExtent l="0" t="0" r="0" b="7620"/>
            <wp:docPr id="8527803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78039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32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43F4B" w:rsidRPr="005541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20CE" w:rsidRDefault="003D20CE" w:rsidP="003D20CE">
      <w:pPr>
        <w:spacing w:after="0" w:line="240" w:lineRule="auto"/>
      </w:pPr>
      <w:r>
        <w:separator/>
      </w:r>
    </w:p>
  </w:endnote>
  <w:endnote w:type="continuationSeparator" w:id="0">
    <w:p w:rsidR="003D20CE" w:rsidRDefault="003D20CE" w:rsidP="003D2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20CE" w:rsidRDefault="003D20CE" w:rsidP="003D20CE">
      <w:pPr>
        <w:spacing w:after="0" w:line="240" w:lineRule="auto"/>
      </w:pPr>
      <w:r>
        <w:separator/>
      </w:r>
    </w:p>
  </w:footnote>
  <w:footnote w:type="continuationSeparator" w:id="0">
    <w:p w:rsidR="003D20CE" w:rsidRDefault="003D20CE" w:rsidP="003D20CE">
      <w:pPr>
        <w:spacing w:after="0" w:line="240" w:lineRule="auto"/>
      </w:pPr>
      <w:r>
        <w:continuationSeparator/>
      </w:r>
    </w:p>
  </w:footnote>
  <w:footnote w:id="1">
    <w:p w:rsidR="003D20CE" w:rsidRDefault="003D20CE" w:rsidP="00E813B1">
      <w:pPr>
        <w:spacing w:after="0"/>
      </w:pPr>
      <w:r>
        <w:rPr>
          <w:rStyle w:val="Rimandonotaapidipagina"/>
        </w:rPr>
        <w:footnoteRef/>
      </w:r>
      <w:r>
        <w:t xml:space="preserve"> </w:t>
      </w:r>
      <w:hyperlink r:id="rId1" w:history="1">
        <w:r w:rsidRPr="00554113">
          <w:rPr>
            <w:rStyle w:val="Collegamentoipertestuale"/>
            <w:rFonts w:ascii="Garamond" w:hAnsi="Garamond"/>
            <w:b/>
            <w:bCs/>
            <w:sz w:val="18"/>
            <w:szCs w:val="18"/>
          </w:rPr>
          <w:t xml:space="preserve">Modulo 1 – Accreditamento Amministratore </w:t>
        </w:r>
        <w:proofErr w:type="spellStart"/>
        <w:r w:rsidRPr="00554113">
          <w:rPr>
            <w:rStyle w:val="Collegamentoipertestuale"/>
            <w:rFonts w:ascii="Garamond" w:hAnsi="Garamond"/>
            <w:b/>
            <w:bCs/>
            <w:sz w:val="18"/>
            <w:szCs w:val="18"/>
          </w:rPr>
          <w:t>SGAte</w:t>
        </w:r>
        <w:proofErr w:type="spellEnd"/>
        <w:r w:rsidRPr="00554113">
          <w:rPr>
            <w:rStyle w:val="Collegamentoipertestuale"/>
            <w:rFonts w:ascii="Garamond" w:hAnsi="Garamond"/>
            <w:b/>
            <w:bCs/>
            <w:sz w:val="18"/>
            <w:szCs w:val="18"/>
          </w:rPr>
          <w:t xml:space="preserve"> per il Comune</w:t>
        </w:r>
      </w:hyperlink>
      <w:r w:rsidR="00554113">
        <w:rPr>
          <w:rFonts w:ascii="Garamond" w:hAnsi="Garamond"/>
          <w:sz w:val="18"/>
          <w:szCs w:val="18"/>
        </w:rPr>
        <w:t xml:space="preserve">. </w:t>
      </w:r>
      <w:r w:rsidRPr="00554113">
        <w:rPr>
          <w:rFonts w:ascii="Garamond" w:hAnsi="Garamond"/>
          <w:sz w:val="18"/>
          <w:szCs w:val="18"/>
        </w:rPr>
        <w:t xml:space="preserve">Il modulo va utilizzato secondo le istruzioni ivi riportate in tutti i casi in cui sia necessario individuare un nuovo utente con il ruolo di Amministratore </w:t>
      </w:r>
      <w:proofErr w:type="spellStart"/>
      <w:r w:rsidRPr="00554113">
        <w:rPr>
          <w:rFonts w:ascii="Garamond" w:hAnsi="Garamond"/>
          <w:sz w:val="18"/>
          <w:szCs w:val="18"/>
        </w:rPr>
        <w:t>SGAte</w:t>
      </w:r>
      <w:proofErr w:type="spellEnd"/>
      <w:r w:rsidRPr="00554113">
        <w:rPr>
          <w:rFonts w:ascii="Garamond" w:hAnsi="Garamond"/>
          <w:sz w:val="18"/>
          <w:szCs w:val="18"/>
        </w:rPr>
        <w:t xml:space="preserve"> per un Comune ovvero nei casi in cui si renda necessario aggiornare l’Amministratore preesistente. Il modulo è valido sia per il Bonus elettrico per disagio fisico che per il Bonus sociale rifiuti, in quanto l’Amministratore </w:t>
      </w:r>
      <w:proofErr w:type="spellStart"/>
      <w:r w:rsidRPr="00554113">
        <w:rPr>
          <w:rFonts w:ascii="Garamond" w:hAnsi="Garamond"/>
          <w:sz w:val="18"/>
          <w:szCs w:val="18"/>
        </w:rPr>
        <w:t>SGAte</w:t>
      </w:r>
      <w:proofErr w:type="spellEnd"/>
      <w:r w:rsidRPr="00554113">
        <w:rPr>
          <w:rFonts w:ascii="Garamond" w:hAnsi="Garamond"/>
          <w:sz w:val="18"/>
          <w:szCs w:val="18"/>
        </w:rPr>
        <w:t xml:space="preserve"> è unico.</w:t>
      </w:r>
    </w:p>
  </w:footnote>
  <w:footnote w:id="2">
    <w:p w:rsidR="00E813B1" w:rsidRDefault="00E813B1" w:rsidP="00E813B1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E813B1">
        <w:rPr>
          <w:rFonts w:ascii="Garamond" w:hAnsi="Garamond"/>
          <w:sz w:val="18"/>
          <w:szCs w:val="18"/>
        </w:rPr>
        <w:t>Attenzione, a differenza del bonus elettrico per il bonus rifiuti non può esserci un amministratore sovracomunale, quindi ogni comune deve nominare un proprio amministratore.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85922"/>
    <w:multiLevelType w:val="hybridMultilevel"/>
    <w:tmpl w:val="944251A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162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F4B"/>
    <w:rsid w:val="00243F4B"/>
    <w:rsid w:val="003D20CE"/>
    <w:rsid w:val="00554113"/>
    <w:rsid w:val="007F572C"/>
    <w:rsid w:val="00924B42"/>
    <w:rsid w:val="009E44D1"/>
    <w:rsid w:val="00A0683C"/>
    <w:rsid w:val="00A22315"/>
    <w:rsid w:val="00A64A49"/>
    <w:rsid w:val="00BE3072"/>
    <w:rsid w:val="00C20610"/>
    <w:rsid w:val="00DF5255"/>
    <w:rsid w:val="00E061CE"/>
    <w:rsid w:val="00E813B1"/>
    <w:rsid w:val="00FA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A3D00"/>
  <w15:chartTrackingRefBased/>
  <w15:docId w15:val="{5C74342F-D31E-4ED4-8F58-FCC65A5ED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43F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43F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43F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43F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43F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43F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43F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43F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43F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43F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43F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43F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43F4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43F4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43F4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43F4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43F4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43F4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43F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43F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43F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43F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43F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43F4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43F4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43F4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43F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43F4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43F4B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243F4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43F4B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D20C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D20C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D20CE"/>
    <w:rPr>
      <w:vertAlign w:val="superscrip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061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gate.anci.it/atti-del-webinar-9-gennaio-2026-la-gestione-del-bonus-sociale-rifiuti-loperativita-nel-sistema-sgate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gate@pec.anci.it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gate.anci.it/wp-content/uploads/2025/12/Modulo-1-Accreditamento_Amministratore_Comune_V-2.0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Pasquale Mirto</dc:creator>
  <cp:keywords/>
  <dc:description/>
  <cp:lastModifiedBy>Pasquale Mirto</cp:lastModifiedBy>
  <cp:revision>8</cp:revision>
  <dcterms:created xsi:type="dcterms:W3CDTF">2026-01-15T07:56:00Z</dcterms:created>
  <dcterms:modified xsi:type="dcterms:W3CDTF">2026-01-15T09:07:00Z</dcterms:modified>
</cp:coreProperties>
</file>