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342F" w14:textId="77777777" w:rsidR="0066088C" w:rsidRPr="00A10FCC" w:rsidRDefault="0066088C" w:rsidP="004A42AD">
      <w:pPr>
        <w:pStyle w:val="testo"/>
        <w:spacing w:after="40" w:line="276" w:lineRule="auto"/>
        <w:ind w:firstLine="0"/>
        <w:jc w:val="center"/>
        <w:rPr>
          <w:rFonts w:ascii="Bookman Old Style" w:hAnsi="Bookman Old Style"/>
          <w:b/>
          <w:spacing w:val="4"/>
          <w:sz w:val="22"/>
          <w:szCs w:val="22"/>
        </w:rPr>
      </w:pPr>
      <w:r w:rsidRPr="00A10FCC">
        <w:rPr>
          <w:rFonts w:ascii="Bookman Old Style" w:hAnsi="Bookman Old Style"/>
          <w:b/>
          <w:spacing w:val="4"/>
          <w:sz w:val="22"/>
          <w:szCs w:val="22"/>
        </w:rPr>
        <w:t>SCHEMA DELIBERA CONSILIARE</w:t>
      </w:r>
    </w:p>
    <w:p w14:paraId="62028D0B" w14:textId="77777777" w:rsidR="0066088C" w:rsidRPr="00A10FCC" w:rsidRDefault="0066088C" w:rsidP="0066088C">
      <w:pPr>
        <w:pStyle w:val="testo"/>
        <w:spacing w:after="40" w:line="276" w:lineRule="auto"/>
        <w:rPr>
          <w:rFonts w:ascii="Bookman Old Style" w:hAnsi="Bookman Old Style"/>
          <w:spacing w:val="4"/>
          <w:sz w:val="22"/>
          <w:szCs w:val="22"/>
        </w:rPr>
      </w:pPr>
    </w:p>
    <w:p w14:paraId="16E9D204"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COMUNE DI </w:t>
      </w:r>
      <w:r w:rsidR="00014B74" w:rsidRPr="00A10FCC">
        <w:rPr>
          <w:rFonts w:ascii="Bookman Old Style" w:eastAsia="Arial" w:hAnsi="Bookman Old Style"/>
        </w:rPr>
        <w:t>………………</w:t>
      </w:r>
    </w:p>
    <w:p w14:paraId="232A9B6D" w14:textId="77777777" w:rsidR="0066088C" w:rsidRPr="00A10FCC" w:rsidRDefault="0066088C" w:rsidP="0066088C">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(Provincia di </w:t>
      </w:r>
      <w:r w:rsidR="00014B74" w:rsidRPr="00A10FCC">
        <w:rPr>
          <w:rFonts w:ascii="Bookman Old Style" w:eastAsia="Arial" w:hAnsi="Bookman Old Style"/>
        </w:rPr>
        <w:t>……………</w:t>
      </w:r>
      <w:r w:rsidRPr="00A10FCC">
        <w:rPr>
          <w:rFonts w:ascii="Bookman Old Style" w:eastAsia="Arial" w:hAnsi="Bookman Old Style"/>
        </w:rPr>
        <w:t>)</w:t>
      </w:r>
    </w:p>
    <w:p w14:paraId="34997260"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14:paraId="7DC5952D"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14:paraId="1FF8EA6B" w14:textId="77777777" w:rsidR="0066088C" w:rsidRPr="00A10FCC" w:rsidRDefault="0066088C" w:rsidP="0066088C">
      <w:pPr>
        <w:pStyle w:val="Normale0"/>
        <w:rPr>
          <w:rFonts w:ascii="Bookman Old Style" w:hAnsi="Bookman Old Style"/>
          <w:sz w:val="22"/>
          <w:szCs w:val="22"/>
        </w:rPr>
      </w:pPr>
      <w:r w:rsidRPr="00A10FCC">
        <w:rPr>
          <w:rFonts w:ascii="Bookman Old Style" w:hAnsi="Bookman Old Style"/>
          <w:sz w:val="22"/>
          <w:szCs w:val="22"/>
        </w:rPr>
        <w:t>Oggetto:</w:t>
      </w:r>
    </w:p>
    <w:p w14:paraId="2B45C325" w14:textId="77777777" w:rsidR="0066088C" w:rsidRPr="00A10FCC" w:rsidRDefault="0066088C" w:rsidP="0066088C">
      <w:pPr>
        <w:pStyle w:val="Normale0"/>
        <w:rPr>
          <w:rFonts w:ascii="Bookman Old Style" w:hAnsi="Bookman Old Style"/>
          <w:sz w:val="22"/>
          <w:szCs w:val="22"/>
        </w:rPr>
      </w:pPr>
    </w:p>
    <w:tbl>
      <w:tblPr>
        <w:tblW w:w="0" w:type="auto"/>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CellMar>
          <w:left w:w="30" w:type="dxa"/>
          <w:right w:w="30" w:type="dxa"/>
        </w:tblCellMar>
        <w:tblLook w:val="0000" w:firstRow="0" w:lastRow="0" w:firstColumn="0" w:lastColumn="0" w:noHBand="0" w:noVBand="0"/>
      </w:tblPr>
      <w:tblGrid>
        <w:gridCol w:w="9639"/>
      </w:tblGrid>
      <w:tr w:rsidR="0066088C" w:rsidRPr="00A10FCC" w14:paraId="20202EC2" w14:textId="77777777" w:rsidTr="00367F3A">
        <w:tc>
          <w:tcPr>
            <w:tcW w:w="9639" w:type="dxa"/>
            <w:shd w:val="clear" w:color="auto" w:fill="D9D9D9" w:themeFill="background1" w:themeFillShade="D9"/>
          </w:tcPr>
          <w:p w14:paraId="2E5C25BA" w14:textId="68C86505" w:rsidR="0066088C" w:rsidRPr="00D329AC" w:rsidRDefault="003A640D" w:rsidP="003A640D">
            <w:pPr>
              <w:pStyle w:val="Normale0"/>
              <w:jc w:val="center"/>
              <w:rPr>
                <w:rFonts w:ascii="Bookman Old Style" w:hAnsi="Bookman Old Style"/>
                <w:b/>
                <w:sz w:val="22"/>
                <w:szCs w:val="22"/>
              </w:rPr>
            </w:pPr>
            <w:r>
              <w:rPr>
                <w:rFonts w:ascii="Bookman Old Style" w:hAnsi="Bookman Old Style"/>
                <w:b/>
                <w:sz w:val="22"/>
                <w:szCs w:val="22"/>
              </w:rPr>
              <w:t xml:space="preserve">ADESIONE ALLA ROTTAMAZIONE QUINQUIES – </w:t>
            </w:r>
            <w:r w:rsidR="00CF74D1">
              <w:rPr>
                <w:rFonts w:ascii="Bookman Old Style" w:hAnsi="Bookman Old Style"/>
                <w:b/>
                <w:sz w:val="22"/>
                <w:szCs w:val="22"/>
              </w:rPr>
              <w:t xml:space="preserve">Articolo </w:t>
            </w:r>
            <w:r w:rsidR="000A37C3" w:rsidRPr="00A10FCC">
              <w:rPr>
                <w:rFonts w:ascii="Bookman Old Style" w:hAnsi="Bookman Old Style"/>
                <w:b/>
                <w:sz w:val="22"/>
                <w:szCs w:val="22"/>
              </w:rPr>
              <w:t xml:space="preserve">1, </w:t>
            </w:r>
            <w:r w:rsidR="00CF74D1">
              <w:rPr>
                <w:rFonts w:ascii="Bookman Old Style" w:hAnsi="Bookman Old Style"/>
                <w:b/>
                <w:sz w:val="22"/>
                <w:szCs w:val="22"/>
              </w:rPr>
              <w:t>commi</w:t>
            </w:r>
            <w:r w:rsidR="00CF74D1" w:rsidRPr="00A10FCC">
              <w:rPr>
                <w:rFonts w:ascii="Bookman Old Style" w:hAnsi="Bookman Old Style"/>
                <w:b/>
                <w:sz w:val="22"/>
                <w:szCs w:val="22"/>
              </w:rPr>
              <w:t xml:space="preserve"> </w:t>
            </w:r>
            <w:r w:rsidR="00682B9F">
              <w:rPr>
                <w:rFonts w:ascii="Bookman Old Style" w:hAnsi="Bookman Old Style"/>
                <w:b/>
                <w:sz w:val="22"/>
                <w:szCs w:val="22"/>
              </w:rPr>
              <w:t xml:space="preserve">da </w:t>
            </w:r>
            <w:r>
              <w:rPr>
                <w:rFonts w:ascii="Bookman Old Style" w:hAnsi="Bookman Old Style"/>
                <w:b/>
                <w:sz w:val="22"/>
                <w:szCs w:val="22"/>
              </w:rPr>
              <w:t xml:space="preserve">82 </w:t>
            </w:r>
            <w:r w:rsidR="00682B9F">
              <w:rPr>
                <w:rFonts w:ascii="Bookman Old Style" w:hAnsi="Bookman Old Style"/>
                <w:b/>
                <w:sz w:val="22"/>
                <w:szCs w:val="22"/>
              </w:rPr>
              <w:t xml:space="preserve">a </w:t>
            </w:r>
            <w:r>
              <w:rPr>
                <w:rFonts w:ascii="Bookman Old Style" w:hAnsi="Bookman Old Style"/>
                <w:b/>
                <w:sz w:val="22"/>
                <w:szCs w:val="22"/>
              </w:rPr>
              <w:t>101</w:t>
            </w:r>
            <w:r w:rsidR="00043A60" w:rsidRPr="00A10FCC">
              <w:rPr>
                <w:rFonts w:ascii="Bookman Old Style" w:hAnsi="Bookman Old Style"/>
                <w:b/>
                <w:sz w:val="22"/>
                <w:szCs w:val="22"/>
              </w:rPr>
              <w:t>, L</w:t>
            </w:r>
            <w:r w:rsidR="000B04FC">
              <w:rPr>
                <w:rFonts w:ascii="Bookman Old Style" w:hAnsi="Bookman Old Style"/>
                <w:b/>
                <w:sz w:val="22"/>
                <w:szCs w:val="22"/>
              </w:rPr>
              <w:t xml:space="preserve">. </w:t>
            </w:r>
            <w:r w:rsidR="00043A60" w:rsidRPr="00A10FCC">
              <w:rPr>
                <w:rFonts w:ascii="Bookman Old Style" w:hAnsi="Bookman Old Style"/>
                <w:b/>
                <w:sz w:val="22"/>
                <w:szCs w:val="22"/>
              </w:rPr>
              <w:t xml:space="preserve">N. </w:t>
            </w:r>
            <w:r>
              <w:rPr>
                <w:rFonts w:ascii="Bookman Old Style" w:hAnsi="Bookman Old Style"/>
                <w:b/>
                <w:sz w:val="22"/>
                <w:szCs w:val="22"/>
              </w:rPr>
              <w:t>199/2025</w:t>
            </w:r>
            <w:r w:rsidR="00D329AC">
              <w:rPr>
                <w:rFonts w:ascii="Bookman Old Style" w:hAnsi="Bookman Old Style"/>
                <w:b/>
                <w:sz w:val="22"/>
                <w:szCs w:val="22"/>
              </w:rPr>
              <w:t xml:space="preserve"> e art</w:t>
            </w:r>
            <w:r w:rsidR="00682B9F">
              <w:rPr>
                <w:rFonts w:ascii="Bookman Old Style" w:hAnsi="Bookman Old Style"/>
                <w:b/>
                <w:sz w:val="22"/>
                <w:szCs w:val="22"/>
              </w:rPr>
              <w:t xml:space="preserve">icolo </w:t>
            </w:r>
            <w:r w:rsidR="00D329AC">
              <w:rPr>
                <w:rFonts w:ascii="Bookman Old Style" w:hAnsi="Bookman Old Style"/>
                <w:b/>
                <w:sz w:val="22"/>
                <w:szCs w:val="22"/>
              </w:rPr>
              <w:t xml:space="preserve">10 </w:t>
            </w:r>
            <w:r w:rsidR="00D329AC" w:rsidRPr="000B04FC">
              <w:rPr>
                <w:rFonts w:ascii="Bookman Old Style" w:hAnsi="Bookman Old Style"/>
                <w:b/>
                <w:i/>
                <w:iCs/>
                <w:sz w:val="22"/>
                <w:szCs w:val="22"/>
              </w:rPr>
              <w:t>quinquies</w:t>
            </w:r>
            <w:r w:rsidR="00682B9F">
              <w:rPr>
                <w:rFonts w:ascii="Bookman Old Style" w:hAnsi="Bookman Old Style"/>
                <w:b/>
                <w:sz w:val="22"/>
                <w:szCs w:val="22"/>
              </w:rPr>
              <w:t>,</w:t>
            </w:r>
            <w:r w:rsidR="00D329AC">
              <w:rPr>
                <w:rFonts w:ascii="Bookman Old Style" w:hAnsi="Bookman Old Style"/>
                <w:b/>
                <w:sz w:val="22"/>
                <w:szCs w:val="22"/>
              </w:rPr>
              <w:t xml:space="preserve"> Dl </w:t>
            </w:r>
            <w:r w:rsidR="000B04FC">
              <w:rPr>
                <w:rFonts w:ascii="Bookman Old Style" w:hAnsi="Bookman Old Style"/>
                <w:b/>
                <w:sz w:val="22"/>
                <w:szCs w:val="22"/>
              </w:rPr>
              <w:t>38/2026</w:t>
            </w:r>
            <w:r w:rsidR="009970A8">
              <w:rPr>
                <w:rFonts w:ascii="Bookman Old Style" w:hAnsi="Bookman Old Style"/>
                <w:b/>
                <w:sz w:val="22"/>
                <w:szCs w:val="22"/>
              </w:rPr>
              <w:t>,</w:t>
            </w:r>
            <w:r w:rsidR="000B04FC">
              <w:rPr>
                <w:rFonts w:ascii="Bookman Old Style" w:hAnsi="Bookman Old Style"/>
                <w:b/>
                <w:sz w:val="22"/>
                <w:szCs w:val="22"/>
              </w:rPr>
              <w:t xml:space="preserve"> convertito con L. ***/2026 </w:t>
            </w:r>
          </w:p>
        </w:tc>
      </w:tr>
    </w:tbl>
    <w:p w14:paraId="0DAE8852" w14:textId="77777777" w:rsidR="0066088C" w:rsidRPr="00A10FCC" w:rsidRDefault="0066088C" w:rsidP="0066088C">
      <w:pPr>
        <w:jc w:val="both"/>
        <w:rPr>
          <w:rFonts w:ascii="Bookman Old Style" w:eastAsia="Arial" w:hAnsi="Bookman Old Style"/>
          <w:b/>
        </w:rPr>
      </w:pPr>
    </w:p>
    <w:p w14:paraId="7BB05BF8" w14:textId="77777777" w:rsidR="00FC4951" w:rsidRPr="00A10FCC" w:rsidRDefault="00FC4951" w:rsidP="00FC4951">
      <w:pPr>
        <w:rPr>
          <w:rFonts w:ascii="Bookman Old Style" w:eastAsia="Arial" w:hAnsi="Bookman Old Style"/>
          <w:i/>
        </w:rPr>
      </w:pPr>
      <w:r w:rsidRPr="00A10FCC">
        <w:rPr>
          <w:rFonts w:ascii="Bookman Old Style" w:eastAsia="Arial" w:hAnsi="Bookman Old Style"/>
          <w:i/>
        </w:rPr>
        <w:t>Su proposta della Giunta Comunale</w:t>
      </w:r>
    </w:p>
    <w:p w14:paraId="37C5436A" w14:textId="77777777" w:rsidR="00BA37B5" w:rsidRPr="00A10FCC" w:rsidRDefault="00BA37B5" w:rsidP="00FC4951">
      <w:pPr>
        <w:rPr>
          <w:rFonts w:ascii="Bookman Old Style" w:eastAsia="Arial" w:hAnsi="Bookman Old Style"/>
          <w:i/>
        </w:rPr>
      </w:pPr>
    </w:p>
    <w:p w14:paraId="25B7F8F9" w14:textId="77777777" w:rsidR="00BA37B5" w:rsidRPr="00A10FCC" w:rsidRDefault="00BA37B5" w:rsidP="00BA37B5">
      <w:pPr>
        <w:rPr>
          <w:rFonts w:ascii="Bookman Old Style" w:eastAsia="Arial" w:hAnsi="Bookman Old Style"/>
          <w:i/>
        </w:rPr>
      </w:pPr>
      <w:r w:rsidRPr="00A10FCC">
        <w:rPr>
          <w:rFonts w:ascii="Bookman Old Style" w:eastAsia="Arial" w:hAnsi="Bookman Old Style"/>
          <w:i/>
        </w:rPr>
        <w:t>Preso atto della relazione illustrativa dell’Assessore o del Sindaco;</w:t>
      </w:r>
    </w:p>
    <w:p w14:paraId="1DD73C87" w14:textId="77777777" w:rsidR="00BA37B5" w:rsidRPr="00A10FCC" w:rsidRDefault="00BA37B5" w:rsidP="00FC4951">
      <w:pPr>
        <w:rPr>
          <w:rFonts w:ascii="Bookman Old Style" w:eastAsia="Arial" w:hAnsi="Bookman Old Style"/>
          <w:i/>
        </w:rPr>
      </w:pPr>
    </w:p>
    <w:p w14:paraId="6539D93D" w14:textId="77777777" w:rsidR="00FC4951" w:rsidRPr="00A10FCC" w:rsidRDefault="00FC4951" w:rsidP="0066088C">
      <w:pPr>
        <w:jc w:val="center"/>
        <w:rPr>
          <w:rFonts w:ascii="Bookman Old Style" w:eastAsia="Arial" w:hAnsi="Bookman Old Style"/>
          <w:b/>
        </w:rPr>
      </w:pPr>
    </w:p>
    <w:p w14:paraId="774FDCF6" w14:textId="77777777" w:rsidR="0066088C" w:rsidRPr="00A10FCC" w:rsidRDefault="0066088C" w:rsidP="0066088C">
      <w:pPr>
        <w:jc w:val="center"/>
        <w:rPr>
          <w:rFonts w:ascii="Bookman Old Style" w:eastAsia="Arial" w:hAnsi="Bookman Old Style"/>
          <w:b/>
        </w:rPr>
      </w:pPr>
      <w:r w:rsidRPr="00A10FCC">
        <w:rPr>
          <w:rFonts w:ascii="Bookman Old Style" w:eastAsia="Arial" w:hAnsi="Bookman Old Style"/>
          <w:b/>
        </w:rPr>
        <w:t>IL CONSIGLIO COMUNALE</w:t>
      </w:r>
    </w:p>
    <w:p w14:paraId="4DDCC779" w14:textId="77777777" w:rsidR="008D2D59" w:rsidRPr="00A10FCC" w:rsidRDefault="008D2D59" w:rsidP="0066088C">
      <w:pPr>
        <w:pStyle w:val="testo"/>
        <w:spacing w:after="40" w:line="276" w:lineRule="auto"/>
        <w:rPr>
          <w:rFonts w:ascii="Bookman Old Style" w:hAnsi="Bookman Old Style"/>
          <w:b/>
          <w:spacing w:val="4"/>
          <w:sz w:val="22"/>
          <w:szCs w:val="22"/>
        </w:rPr>
      </w:pPr>
    </w:p>
    <w:p w14:paraId="29DD3B69" w14:textId="77777777" w:rsidR="0066088C" w:rsidRPr="00A10FCC" w:rsidRDefault="00043A60" w:rsidP="0066088C">
      <w:pPr>
        <w:pStyle w:val="testo"/>
        <w:spacing w:after="40" w:line="276" w:lineRule="auto"/>
        <w:rPr>
          <w:rFonts w:ascii="Bookman Old Style" w:hAnsi="Bookman Old Style"/>
          <w:b/>
          <w:spacing w:val="4"/>
          <w:sz w:val="22"/>
          <w:szCs w:val="22"/>
        </w:rPr>
      </w:pPr>
      <w:r w:rsidRPr="00A10FCC">
        <w:rPr>
          <w:rFonts w:ascii="Bookman Old Style" w:hAnsi="Bookman Old Style"/>
          <w:b/>
          <w:spacing w:val="4"/>
          <w:sz w:val="22"/>
          <w:szCs w:val="22"/>
        </w:rPr>
        <w:t xml:space="preserve">PREMESSO CHE: </w:t>
      </w:r>
    </w:p>
    <w:p w14:paraId="273CE571" w14:textId="77777777" w:rsidR="00A532E2" w:rsidRDefault="005350A1"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l’ar</w:t>
      </w:r>
      <w:r w:rsidR="00511EE6" w:rsidRPr="00A532E2">
        <w:rPr>
          <w:rFonts w:ascii="Bookman Old Style" w:hAnsi="Bookman Old Style"/>
          <w:spacing w:val="4"/>
          <w:sz w:val="22"/>
          <w:szCs w:val="22"/>
        </w:rPr>
        <w:t>ticolo</w:t>
      </w:r>
      <w:r w:rsidRPr="00A532E2">
        <w:rPr>
          <w:rFonts w:ascii="Bookman Old Style" w:hAnsi="Bookman Old Style"/>
          <w:spacing w:val="4"/>
          <w:sz w:val="22"/>
          <w:szCs w:val="22"/>
        </w:rPr>
        <w:t xml:space="preserve"> </w:t>
      </w:r>
      <w:r w:rsidR="00DF3820" w:rsidRPr="00A532E2">
        <w:rPr>
          <w:rFonts w:ascii="Bookman Old Style" w:hAnsi="Bookman Old Style"/>
          <w:spacing w:val="4"/>
          <w:sz w:val="22"/>
          <w:szCs w:val="22"/>
        </w:rPr>
        <w:t>1</w:t>
      </w:r>
      <w:r w:rsidR="00625BDF" w:rsidRPr="00A532E2">
        <w:rPr>
          <w:rFonts w:ascii="Bookman Old Style" w:hAnsi="Bookman Old Style"/>
          <w:spacing w:val="4"/>
          <w:sz w:val="22"/>
          <w:szCs w:val="22"/>
        </w:rPr>
        <w:t>0-</w:t>
      </w:r>
      <w:r w:rsidR="00625BDF" w:rsidRPr="00A532E2">
        <w:rPr>
          <w:rFonts w:ascii="Bookman Old Style" w:hAnsi="Bookman Old Style"/>
          <w:i/>
          <w:iCs/>
          <w:spacing w:val="4"/>
          <w:sz w:val="22"/>
          <w:szCs w:val="22"/>
        </w:rPr>
        <w:t>quinquies</w:t>
      </w:r>
      <w:r w:rsidR="00625BDF" w:rsidRPr="00A532E2">
        <w:rPr>
          <w:rFonts w:ascii="Bookman Old Style" w:hAnsi="Bookman Old Style"/>
          <w:spacing w:val="4"/>
          <w:sz w:val="22"/>
          <w:szCs w:val="22"/>
        </w:rPr>
        <w:t xml:space="preserve"> del decreto-legge 27 marzo 2026, n. 38, introdotto dalla legge di conversione XX maggio 2026, n. YY, ha disposto l’estensione della procedura di accesso e gestione della definizione agevolata di cui all’articolo 1, commi da 82 a 101, della legge 30 dicembre 2025, n. 199, ai carichi degli enti territoriali; </w:t>
      </w:r>
    </w:p>
    <w:p w14:paraId="663ADFAA" w14:textId="77777777" w:rsidR="00890364"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890364">
        <w:rPr>
          <w:rFonts w:ascii="Bookman Old Style" w:hAnsi="Bookman Old Style"/>
          <w:spacing w:val="4"/>
          <w:sz w:val="22"/>
          <w:szCs w:val="22"/>
        </w:rPr>
        <w:t>l’articolo 10-</w:t>
      </w:r>
      <w:r w:rsidRPr="00B36E11">
        <w:rPr>
          <w:rFonts w:ascii="Bookman Old Style" w:hAnsi="Bookman Old Style"/>
          <w:i/>
          <w:iCs/>
          <w:spacing w:val="4"/>
          <w:sz w:val="22"/>
          <w:szCs w:val="22"/>
        </w:rPr>
        <w:t>quinquies</w:t>
      </w:r>
      <w:r w:rsidRPr="00890364">
        <w:rPr>
          <w:rFonts w:ascii="Bookman Old Style" w:hAnsi="Bookman Old Style"/>
          <w:spacing w:val="4"/>
          <w:sz w:val="22"/>
          <w:szCs w:val="22"/>
        </w:rPr>
        <w:t xml:space="preserve">, </w:t>
      </w:r>
      <w:proofErr w:type="spellStart"/>
      <w:r w:rsidRPr="00890364">
        <w:rPr>
          <w:rFonts w:ascii="Bookman Old Style" w:hAnsi="Bookman Old Style"/>
          <w:spacing w:val="4"/>
          <w:sz w:val="22"/>
          <w:szCs w:val="22"/>
        </w:rPr>
        <w:t>d.l.</w:t>
      </w:r>
      <w:proofErr w:type="spellEnd"/>
      <w:r w:rsidRPr="00890364">
        <w:rPr>
          <w:rFonts w:ascii="Bookman Old Style" w:hAnsi="Bookman Old Style"/>
          <w:spacing w:val="4"/>
          <w:sz w:val="22"/>
          <w:szCs w:val="22"/>
        </w:rPr>
        <w:t xml:space="preserve"> n. 38 del 2026 limita l’applicazione della rottamazione </w:t>
      </w:r>
      <w:r w:rsidRPr="00890364">
        <w:rPr>
          <w:rFonts w:ascii="Bookman Old Style" w:hAnsi="Bookman Old Style"/>
          <w:i/>
          <w:iCs/>
          <w:spacing w:val="4"/>
          <w:sz w:val="22"/>
          <w:szCs w:val="22"/>
        </w:rPr>
        <w:t>quinquies</w:t>
      </w:r>
      <w:r w:rsidRPr="00890364">
        <w:rPr>
          <w:rFonts w:ascii="Bookman Old Style" w:hAnsi="Bookman Old Style"/>
          <w:spacing w:val="4"/>
          <w:sz w:val="22"/>
          <w:szCs w:val="22"/>
        </w:rPr>
        <w:t xml:space="preserve"> ai carichi affidati dalle regioni e dagli enti locali che “</w:t>
      </w:r>
      <w:r w:rsidRPr="00890364">
        <w:rPr>
          <w:rFonts w:ascii="Bookman Old Style" w:hAnsi="Bookman Old Style"/>
          <w:i/>
          <w:iCs/>
          <w:spacing w:val="4"/>
          <w:sz w:val="22"/>
          <w:szCs w:val="22"/>
        </w:rPr>
        <w:t>nell’esercizio della propria autonoma potestà impositiva, ne abbiano previsto, con le forme prescritte dalla legislazione vigente per l’adozione dei propri atti, l’applicazione alle proprie entrate</w:t>
      </w:r>
      <w:r w:rsidRPr="00890364">
        <w:rPr>
          <w:rFonts w:ascii="Bookman Old Style" w:hAnsi="Bookman Old Style"/>
          <w:spacing w:val="4"/>
          <w:sz w:val="22"/>
          <w:szCs w:val="22"/>
        </w:rPr>
        <w:t>”</w:t>
      </w:r>
      <w:r w:rsidR="00890364" w:rsidRPr="00890364">
        <w:rPr>
          <w:rFonts w:ascii="Bookman Old Style" w:hAnsi="Bookman Old Style"/>
          <w:spacing w:val="4"/>
          <w:sz w:val="22"/>
          <w:szCs w:val="22"/>
        </w:rPr>
        <w:t>;</w:t>
      </w:r>
    </w:p>
    <w:p w14:paraId="7BA35EC3" w14:textId="77777777" w:rsidR="00890364" w:rsidRDefault="00890364" w:rsidP="00A532E2">
      <w:pPr>
        <w:pStyle w:val="testo"/>
        <w:spacing w:after="80" w:line="259" w:lineRule="auto"/>
        <w:ind w:left="426" w:firstLine="0"/>
        <w:rPr>
          <w:rFonts w:ascii="Bookman Old Style" w:hAnsi="Bookman Old Style"/>
          <w:spacing w:val="4"/>
          <w:sz w:val="22"/>
          <w:szCs w:val="22"/>
        </w:rPr>
      </w:pPr>
    </w:p>
    <w:p w14:paraId="45774F28" w14:textId="77777777" w:rsidR="00A532E2" w:rsidRPr="00A532E2" w:rsidRDefault="00A532E2" w:rsidP="00A532E2">
      <w:pPr>
        <w:pStyle w:val="testo"/>
        <w:spacing w:after="80" w:line="259" w:lineRule="auto"/>
        <w:ind w:left="426" w:firstLine="0"/>
        <w:rPr>
          <w:rFonts w:ascii="Bookman Old Style" w:hAnsi="Bookman Old Style"/>
          <w:b/>
          <w:bCs/>
          <w:spacing w:val="4"/>
          <w:sz w:val="22"/>
          <w:szCs w:val="22"/>
        </w:rPr>
      </w:pPr>
      <w:r w:rsidRPr="00A532E2">
        <w:rPr>
          <w:rFonts w:ascii="Bookman Old Style" w:hAnsi="Bookman Old Style"/>
          <w:b/>
          <w:bCs/>
          <w:spacing w:val="4"/>
          <w:sz w:val="22"/>
          <w:szCs w:val="22"/>
        </w:rPr>
        <w:t>CONSIDERATO CHE:</w:t>
      </w:r>
    </w:p>
    <w:p w14:paraId="0D24962A" w14:textId="108910D6" w:rsidR="00A532E2"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 xml:space="preserve">la definizione agevolata riguarda tutti i debiti, tributari e </w:t>
      </w:r>
      <w:r w:rsidR="0008290A">
        <w:rPr>
          <w:rFonts w:ascii="Bookman Old Style" w:hAnsi="Bookman Old Style"/>
          <w:spacing w:val="4"/>
          <w:sz w:val="22"/>
          <w:szCs w:val="22"/>
        </w:rPr>
        <w:t>patrimoniali</w:t>
      </w:r>
      <w:r w:rsidRPr="00A532E2">
        <w:rPr>
          <w:rFonts w:ascii="Bookman Old Style" w:hAnsi="Bookman Old Style"/>
          <w:spacing w:val="4"/>
          <w:sz w:val="22"/>
          <w:szCs w:val="22"/>
        </w:rPr>
        <w:t xml:space="preserve">, con esclusione di quelli derivanti da pronunce di condanna della Corte dei conti, risultanti dai carichi </w:t>
      </w:r>
      <w:r w:rsidR="0008290A" w:rsidRPr="00A532E2">
        <w:rPr>
          <w:rFonts w:ascii="Bookman Old Style" w:hAnsi="Bookman Old Style"/>
          <w:spacing w:val="4"/>
          <w:sz w:val="22"/>
          <w:szCs w:val="22"/>
        </w:rPr>
        <w:t>affida</w:t>
      </w:r>
      <w:r w:rsidR="0008290A">
        <w:rPr>
          <w:rFonts w:ascii="Bookman Old Style" w:hAnsi="Bookman Old Style"/>
          <w:spacing w:val="4"/>
          <w:sz w:val="22"/>
          <w:szCs w:val="22"/>
        </w:rPr>
        <w:t xml:space="preserve">ti </w:t>
      </w:r>
      <w:r>
        <w:rPr>
          <w:rFonts w:ascii="Bookman Old Style" w:hAnsi="Bookman Old Style"/>
          <w:spacing w:val="4"/>
          <w:sz w:val="22"/>
          <w:szCs w:val="22"/>
        </w:rPr>
        <w:t>dal</w:t>
      </w:r>
      <w:r w:rsidR="00B36E11">
        <w:rPr>
          <w:rFonts w:ascii="Bookman Old Style" w:hAnsi="Bookman Old Style"/>
          <w:spacing w:val="4"/>
          <w:sz w:val="22"/>
          <w:szCs w:val="22"/>
        </w:rPr>
        <w:t xml:space="preserve"> Comune </w:t>
      </w:r>
      <w:r w:rsidR="00151C25">
        <w:rPr>
          <w:rFonts w:ascii="Bookman Old Style" w:hAnsi="Bookman Old Style"/>
          <w:spacing w:val="4"/>
          <w:sz w:val="22"/>
          <w:szCs w:val="22"/>
        </w:rPr>
        <w:t>all’</w:t>
      </w:r>
      <w:r w:rsidR="00AF765E">
        <w:rPr>
          <w:rFonts w:ascii="Bookman Old Style" w:hAnsi="Bookman Old Style"/>
          <w:spacing w:val="4"/>
          <w:sz w:val="22"/>
          <w:szCs w:val="22"/>
        </w:rPr>
        <w:t xml:space="preserve">agente della riscossione (attualmente l’Agenzia delle entrate-Riscossione-Ader) </w:t>
      </w:r>
      <w:r w:rsidRPr="00A532E2">
        <w:rPr>
          <w:rFonts w:ascii="Bookman Old Style" w:hAnsi="Bookman Old Style"/>
          <w:spacing w:val="4"/>
          <w:sz w:val="22"/>
          <w:szCs w:val="22"/>
        </w:rPr>
        <w:t>dal 1° gennaio 2000 al 31 dicembre 2023</w:t>
      </w:r>
      <w:r>
        <w:rPr>
          <w:rFonts w:ascii="Bookman Old Style" w:hAnsi="Bookman Old Style"/>
          <w:spacing w:val="4"/>
          <w:sz w:val="22"/>
          <w:szCs w:val="22"/>
        </w:rPr>
        <w:t>;</w:t>
      </w:r>
    </w:p>
    <w:p w14:paraId="4FA17A8F" w14:textId="77777777"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rientrano nell’ambito di applicazione della definizione anche i carichi già oggetto delle precedenti rottamazioni per i quali si è determinata l’inefficacia della definizione a seguito del mancato o non tempestivo pagamento degli importi dovuti alle previste scadenze</w:t>
      </w:r>
      <w:r>
        <w:rPr>
          <w:rFonts w:ascii="Bookman Old Style" w:hAnsi="Bookman Old Style"/>
          <w:spacing w:val="4"/>
          <w:sz w:val="22"/>
          <w:szCs w:val="22"/>
        </w:rPr>
        <w:t>;</w:t>
      </w:r>
    </w:p>
    <w:p w14:paraId="00E7ADB9" w14:textId="1CEBB4FA"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A532E2">
        <w:rPr>
          <w:rFonts w:ascii="Bookman Old Style" w:hAnsi="Bookman Old Style"/>
          <w:spacing w:val="4"/>
          <w:sz w:val="22"/>
          <w:szCs w:val="22"/>
        </w:rPr>
        <w:t xml:space="preserve"> seguito della presentazione della dichiarazione di adesione, ed al suo successivo accoglimento, il debitore verserà unicamente le somme dovute a titolo di capitale e quelle maturate a </w:t>
      </w:r>
      <w:r w:rsidR="0008290A">
        <w:rPr>
          <w:rFonts w:ascii="Bookman Old Style" w:hAnsi="Bookman Old Style"/>
          <w:spacing w:val="4"/>
          <w:sz w:val="22"/>
          <w:szCs w:val="22"/>
        </w:rPr>
        <w:t>titolo</w:t>
      </w:r>
      <w:r w:rsidR="0008290A" w:rsidRPr="00A532E2">
        <w:rPr>
          <w:rFonts w:ascii="Bookman Old Style" w:hAnsi="Bookman Old Style"/>
          <w:spacing w:val="4"/>
          <w:sz w:val="22"/>
          <w:szCs w:val="22"/>
        </w:rPr>
        <w:t xml:space="preserve"> </w:t>
      </w:r>
      <w:r w:rsidRPr="00A532E2">
        <w:rPr>
          <w:rFonts w:ascii="Bookman Old Style" w:hAnsi="Bookman Old Style"/>
          <w:spacing w:val="4"/>
          <w:sz w:val="22"/>
          <w:szCs w:val="22"/>
        </w:rPr>
        <w:t>di rimborso spese per le procedure esecutive e per i diritti di notifica</w:t>
      </w:r>
      <w:r w:rsidR="0008290A">
        <w:rPr>
          <w:rFonts w:ascii="Bookman Old Style" w:hAnsi="Bookman Old Style"/>
          <w:spacing w:val="4"/>
          <w:sz w:val="22"/>
          <w:szCs w:val="22"/>
        </w:rPr>
        <w:t xml:space="preserve"> e che </w:t>
      </w:r>
      <w:r>
        <w:rPr>
          <w:rFonts w:ascii="Bookman Old Style" w:hAnsi="Bookman Old Style"/>
          <w:spacing w:val="4"/>
          <w:sz w:val="22"/>
          <w:szCs w:val="22"/>
        </w:rPr>
        <w:t xml:space="preserve">sono pertanto </w:t>
      </w:r>
      <w:r w:rsidRPr="00A532E2">
        <w:rPr>
          <w:rFonts w:ascii="Bookman Old Style" w:hAnsi="Bookman Old Style"/>
          <w:spacing w:val="4"/>
          <w:sz w:val="22"/>
          <w:szCs w:val="22"/>
        </w:rPr>
        <w:t>abbuonati gli importi originariamente dovuti a titolo di interessi, sanzioni, interessi di mora e aggio</w:t>
      </w:r>
      <w:r>
        <w:rPr>
          <w:rFonts w:ascii="Bookman Old Style" w:hAnsi="Bookman Old Style"/>
          <w:spacing w:val="4"/>
          <w:sz w:val="22"/>
          <w:szCs w:val="22"/>
        </w:rPr>
        <w:t>;</w:t>
      </w:r>
    </w:p>
    <w:p w14:paraId="530049A7" w14:textId="77777777"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A532E2">
        <w:rPr>
          <w:rFonts w:ascii="Bookman Old Style" w:hAnsi="Bookman Old Style"/>
          <w:spacing w:val="4"/>
          <w:sz w:val="22"/>
          <w:szCs w:val="22"/>
        </w:rPr>
        <w:t>’art. 10-</w:t>
      </w:r>
      <w:r w:rsidRPr="00A532E2">
        <w:rPr>
          <w:rFonts w:ascii="Bookman Old Style" w:hAnsi="Bookman Old Style"/>
          <w:i/>
          <w:iCs/>
          <w:spacing w:val="4"/>
          <w:sz w:val="22"/>
          <w:szCs w:val="22"/>
        </w:rPr>
        <w:t>quinquies</w:t>
      </w:r>
      <w:r w:rsidRPr="00A532E2">
        <w:rPr>
          <w:rFonts w:ascii="Bookman Old Style" w:hAnsi="Bookman Old Style"/>
          <w:spacing w:val="4"/>
          <w:sz w:val="22"/>
          <w:szCs w:val="22"/>
        </w:rPr>
        <w:t xml:space="preserve">, comma 1, lett. f), dispone che per le sanzioni amministrative, comprese quelle per violazioni del codice della strada, di cui al d.lgs. n. 285 del 1992, diverse da quelle irrogate per violazioni tributarie, la definizione opera limitatamente agli interessi, comunque denominati, compresi la maggiorazione </w:t>
      </w:r>
      <w:r w:rsidRPr="00A532E2">
        <w:rPr>
          <w:rFonts w:ascii="Bookman Old Style" w:hAnsi="Bookman Old Style"/>
          <w:spacing w:val="4"/>
          <w:sz w:val="22"/>
          <w:szCs w:val="22"/>
        </w:rPr>
        <w:lastRenderedPageBreak/>
        <w:t>semestrale di cui all’art. 27, legge n. 689 del 1981 e gli interessi di mora di cui all’art. 30, d.P.R. n. 602/1973, oltre all’aggio spettante all’Agente della riscossione</w:t>
      </w:r>
      <w:r>
        <w:rPr>
          <w:rFonts w:ascii="Bookman Old Style" w:hAnsi="Bookman Old Style"/>
          <w:spacing w:val="4"/>
          <w:sz w:val="22"/>
          <w:szCs w:val="22"/>
        </w:rPr>
        <w:t>;</w:t>
      </w:r>
    </w:p>
    <w:p w14:paraId="4D167564" w14:textId="7C1B1D4A" w:rsidR="00F775E8" w:rsidRDefault="00A532E2" w:rsidP="00F775E8">
      <w:pPr>
        <w:pStyle w:val="testo"/>
        <w:numPr>
          <w:ilvl w:val="0"/>
          <w:numId w:val="1"/>
        </w:numPr>
        <w:spacing w:after="80" w:line="259" w:lineRule="auto"/>
        <w:ind w:left="426" w:firstLine="0"/>
        <w:rPr>
          <w:rFonts w:ascii="Bookman Old Style" w:hAnsi="Bookman Old Style"/>
          <w:spacing w:val="4"/>
          <w:sz w:val="22"/>
          <w:szCs w:val="22"/>
        </w:rPr>
      </w:pPr>
      <w:r w:rsidRPr="00F775E8">
        <w:rPr>
          <w:rFonts w:ascii="Bookman Old Style" w:hAnsi="Bookman Old Style"/>
          <w:spacing w:val="4"/>
          <w:sz w:val="22"/>
          <w:szCs w:val="22"/>
        </w:rPr>
        <w:t>la definizione si applica anche agli importi in contezioso, per i quali</w:t>
      </w:r>
      <w:r w:rsidR="00F775E8" w:rsidRPr="00F775E8">
        <w:rPr>
          <w:rFonts w:ascii="Bookman Old Style" w:hAnsi="Bookman Old Style"/>
          <w:spacing w:val="4"/>
          <w:sz w:val="22"/>
          <w:szCs w:val="22"/>
        </w:rPr>
        <w:t>, l’art. 1, comma 87, legge n. 199 del 2025</w:t>
      </w:r>
      <w:r w:rsidR="00B3322D">
        <w:rPr>
          <w:rFonts w:ascii="Bookman Old Style" w:hAnsi="Bookman Old Style"/>
          <w:spacing w:val="4"/>
          <w:sz w:val="22"/>
          <w:szCs w:val="22"/>
        </w:rPr>
        <w:t>,</w:t>
      </w:r>
      <w:r w:rsidR="00F775E8" w:rsidRPr="00F775E8">
        <w:rPr>
          <w:rFonts w:ascii="Bookman Old Style" w:hAnsi="Bookman Old Style"/>
          <w:spacing w:val="4"/>
          <w:sz w:val="22"/>
          <w:szCs w:val="22"/>
        </w:rPr>
        <w:t xml:space="preserve"> precisa che il debitore </w:t>
      </w:r>
      <w:r w:rsidR="00B3322D">
        <w:rPr>
          <w:rFonts w:ascii="Bookman Old Style" w:hAnsi="Bookman Old Style"/>
          <w:spacing w:val="4"/>
          <w:sz w:val="22"/>
          <w:szCs w:val="22"/>
        </w:rPr>
        <w:t>deve indicare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 xml:space="preserve">nella dichiarazione di adesione l'eventuale pendenza di giudizi aventi ad oggetto i carichi in essa ricompresi e </w:t>
      </w:r>
      <w:r w:rsidR="00B3322D" w:rsidRPr="00F775E8">
        <w:rPr>
          <w:rFonts w:ascii="Bookman Old Style" w:hAnsi="Bookman Old Style"/>
          <w:spacing w:val="4"/>
          <w:sz w:val="22"/>
          <w:szCs w:val="22"/>
        </w:rPr>
        <w:t>assum</w:t>
      </w:r>
      <w:r w:rsidR="00B3322D">
        <w:rPr>
          <w:rFonts w:ascii="Bookman Old Style" w:hAnsi="Bookman Old Style"/>
          <w:spacing w:val="4"/>
          <w:sz w:val="22"/>
          <w:szCs w:val="22"/>
        </w:rPr>
        <w:t>ere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l'impegno a rinunciare agli stessi giudizi, che, dietro presentazione di copia della dichiarazione e nelle more del pagamento della prima o unica rata delle somme dovute, sono sospesi dal giudice</w:t>
      </w:r>
      <w:r w:rsidR="00F775E8">
        <w:rPr>
          <w:rFonts w:ascii="Bookman Old Style" w:hAnsi="Bookman Old Style"/>
          <w:spacing w:val="4"/>
          <w:sz w:val="22"/>
          <w:szCs w:val="22"/>
        </w:rPr>
        <w:t>;</w:t>
      </w:r>
    </w:p>
    <w:p w14:paraId="71A26DF1" w14:textId="77777777"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F775E8">
        <w:rPr>
          <w:rFonts w:ascii="Bookman Old Style" w:hAnsi="Bookman Old Style"/>
          <w:spacing w:val="4"/>
          <w:sz w:val="22"/>
          <w:szCs w:val="22"/>
        </w:rPr>
        <w:t xml:space="preserve"> decorrere dal 15 settembre 2026, l’agente della riscossione rende disponibili ai debitori, nell’area riservata del proprio sito internet istituzionale, i dati necessari a individuare i carichi definibili</w:t>
      </w:r>
      <w:r>
        <w:rPr>
          <w:rFonts w:ascii="Bookman Old Style" w:hAnsi="Bookman Old Style"/>
          <w:spacing w:val="4"/>
          <w:sz w:val="22"/>
          <w:szCs w:val="22"/>
        </w:rPr>
        <w:t>;</w:t>
      </w:r>
    </w:p>
    <w:p w14:paraId="7F60B6F9" w14:textId="77777777"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debitore rende tra il 16 settembre 2026 e il 31 ottobre 2026 la dichiarazione di voler procedere alla definizione presentando apposita dichiarazione, con le modalità, esclusivamente telematiche, che lo stessa Ader pubblica nel proprio sito internet istituzionale entro il 15 settembre 2026</w:t>
      </w:r>
      <w:r>
        <w:rPr>
          <w:rFonts w:ascii="Bookman Old Style" w:hAnsi="Bookman Old Style"/>
          <w:spacing w:val="4"/>
          <w:sz w:val="22"/>
          <w:szCs w:val="22"/>
        </w:rPr>
        <w:t>;</w:t>
      </w:r>
    </w:p>
    <w:p w14:paraId="3C587B8C" w14:textId="77777777" w:rsidR="00F775E8" w:rsidRDefault="00F775E8" w:rsidP="00F859BE">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pagamento delle somme dovute per la definizione è effettuato in unica soluzione entro il 31 gennaio 2027 o nel </w:t>
      </w:r>
      <w:r w:rsidRPr="00E15058">
        <w:rPr>
          <w:rFonts w:ascii="Bookman Old Style" w:hAnsi="Bookman Old Style"/>
          <w:spacing w:val="4"/>
          <w:sz w:val="22"/>
          <w:szCs w:val="22"/>
        </w:rPr>
        <w:t>numero massimo di cinquantaquattro rate bimestrali di pari ammontare, con scadenza</w:t>
      </w:r>
      <w:r w:rsidRPr="00F775E8">
        <w:rPr>
          <w:rFonts w:ascii="Bookman Old Style" w:hAnsi="Bookman Old Style"/>
          <w:spacing w:val="4"/>
          <w:sz w:val="22"/>
          <w:szCs w:val="22"/>
        </w:rPr>
        <w:t xml:space="preserve"> il 31 gennaio, il 31 marzo, il 31 maggio, il 31 luglio, il 30 settembre e il 30 novembre di ciascun anno a decorrere dal 2027</w:t>
      </w:r>
      <w:r>
        <w:rPr>
          <w:rFonts w:ascii="Bookman Old Style" w:hAnsi="Bookman Old Style"/>
          <w:spacing w:val="4"/>
          <w:sz w:val="22"/>
          <w:szCs w:val="22"/>
        </w:rPr>
        <w:t>; i</w:t>
      </w:r>
      <w:r w:rsidRPr="00F775E8">
        <w:rPr>
          <w:rFonts w:ascii="Bookman Old Style" w:hAnsi="Bookman Old Style"/>
          <w:spacing w:val="4"/>
          <w:sz w:val="22"/>
          <w:szCs w:val="22"/>
        </w:rPr>
        <w:t>n caso di pagamento rateale, si applicano gli interessi al tasso del 3 per cento annuo a decorrere dal 1° febbraio 2027</w:t>
      </w:r>
      <w:r w:rsidR="00F27C75">
        <w:rPr>
          <w:rFonts w:ascii="Bookman Old Style" w:hAnsi="Bookman Old Style"/>
          <w:spacing w:val="4"/>
          <w:sz w:val="22"/>
          <w:szCs w:val="22"/>
        </w:rPr>
        <w:t>;</w:t>
      </w:r>
    </w:p>
    <w:p w14:paraId="298884E6" w14:textId="63F06AF9" w:rsidR="00F27C75" w:rsidRDefault="00F27C75" w:rsidP="00F859BE">
      <w:pPr>
        <w:pStyle w:val="testo"/>
        <w:numPr>
          <w:ilvl w:val="0"/>
          <w:numId w:val="1"/>
        </w:numPr>
        <w:spacing w:after="80" w:line="259" w:lineRule="auto"/>
        <w:ind w:left="426" w:firstLine="0"/>
        <w:rPr>
          <w:rFonts w:ascii="Bookman Old Style" w:hAnsi="Bookman Old Style"/>
          <w:spacing w:val="4"/>
          <w:sz w:val="22"/>
          <w:szCs w:val="22"/>
        </w:rPr>
      </w:pPr>
      <w:r w:rsidRPr="00F27C75">
        <w:rPr>
          <w:rFonts w:ascii="Bookman Old Style" w:hAnsi="Bookman Old Style"/>
          <w:spacing w:val="4"/>
          <w:sz w:val="22"/>
          <w:szCs w:val="22"/>
        </w:rPr>
        <w:t>entro il 31 dicembre 20</w:t>
      </w:r>
      <w:r w:rsidR="0051104C">
        <w:rPr>
          <w:rFonts w:ascii="Bookman Old Style" w:hAnsi="Bookman Old Style"/>
          <w:spacing w:val="4"/>
          <w:sz w:val="22"/>
          <w:szCs w:val="22"/>
        </w:rPr>
        <w:t>2</w:t>
      </w:r>
      <w:r w:rsidRPr="00F27C75">
        <w:rPr>
          <w:rFonts w:ascii="Bookman Old Style" w:hAnsi="Bookman Old Style"/>
          <w:spacing w:val="4"/>
          <w:sz w:val="22"/>
          <w:szCs w:val="22"/>
        </w:rPr>
        <w:t>6,</w:t>
      </w:r>
      <w:r w:rsidR="00A16DF7">
        <w:rPr>
          <w:rFonts w:ascii="Bookman Old Style" w:hAnsi="Bookman Old Style"/>
          <w:spacing w:val="4"/>
          <w:sz w:val="22"/>
          <w:szCs w:val="22"/>
        </w:rPr>
        <w:t xml:space="preserve"> ai sensi della lettera f), comma 1, dell’articolo </w:t>
      </w:r>
      <w:r w:rsidR="001C7C35">
        <w:rPr>
          <w:rFonts w:ascii="Bookman Old Style" w:hAnsi="Bookman Old Style"/>
          <w:spacing w:val="4"/>
          <w:sz w:val="22"/>
          <w:szCs w:val="22"/>
        </w:rPr>
        <w:t>10</w:t>
      </w:r>
      <w:r w:rsidR="00A16DF7">
        <w:rPr>
          <w:rFonts w:ascii="Bookman Old Style" w:hAnsi="Bookman Old Style"/>
          <w:spacing w:val="4"/>
          <w:sz w:val="22"/>
          <w:szCs w:val="22"/>
        </w:rPr>
        <w:t>-</w:t>
      </w:r>
      <w:r w:rsidR="00A16DF7" w:rsidRPr="001C7C35">
        <w:rPr>
          <w:rFonts w:ascii="Bookman Old Style" w:hAnsi="Bookman Old Style"/>
          <w:i/>
          <w:iCs/>
          <w:spacing w:val="4"/>
          <w:sz w:val="22"/>
          <w:szCs w:val="22"/>
        </w:rPr>
        <w:t>quinquies</w:t>
      </w:r>
      <w:r w:rsidR="00A16DF7">
        <w:rPr>
          <w:rFonts w:ascii="Bookman Old Style" w:hAnsi="Bookman Old Style"/>
          <w:spacing w:val="4"/>
          <w:sz w:val="22"/>
          <w:szCs w:val="22"/>
        </w:rPr>
        <w:t xml:space="preserve"> del più volte citato </w:t>
      </w:r>
      <w:proofErr w:type="gramStart"/>
      <w:r w:rsidR="00A16DF7">
        <w:rPr>
          <w:rFonts w:ascii="Bookman Old Style" w:hAnsi="Bookman Old Style"/>
          <w:spacing w:val="4"/>
          <w:sz w:val="22"/>
          <w:szCs w:val="22"/>
        </w:rPr>
        <w:t>decreto legge</w:t>
      </w:r>
      <w:proofErr w:type="gramEnd"/>
      <w:r w:rsidR="00A16DF7">
        <w:rPr>
          <w:rFonts w:ascii="Bookman Old Style" w:hAnsi="Bookman Old Style"/>
          <w:spacing w:val="4"/>
          <w:sz w:val="22"/>
          <w:szCs w:val="22"/>
        </w:rPr>
        <w:t xml:space="preserve"> n. </w:t>
      </w:r>
      <w:r w:rsidR="00144158">
        <w:rPr>
          <w:rFonts w:ascii="Bookman Old Style" w:hAnsi="Bookman Old Style"/>
          <w:spacing w:val="4"/>
          <w:sz w:val="22"/>
          <w:szCs w:val="22"/>
        </w:rPr>
        <w:t>38</w:t>
      </w:r>
      <w:r w:rsidR="00A16DF7">
        <w:rPr>
          <w:rFonts w:ascii="Bookman Old Style" w:hAnsi="Bookman Old Style"/>
          <w:spacing w:val="4"/>
          <w:sz w:val="22"/>
          <w:szCs w:val="22"/>
        </w:rPr>
        <w:t xml:space="preserve"> del 2026</w:t>
      </w:r>
      <w:r w:rsidR="00144158">
        <w:rPr>
          <w:rFonts w:ascii="Bookman Old Style" w:hAnsi="Bookman Old Style"/>
          <w:spacing w:val="4"/>
          <w:sz w:val="22"/>
          <w:szCs w:val="22"/>
        </w:rPr>
        <w:t>,</w:t>
      </w:r>
      <w:r w:rsidRPr="00F27C75">
        <w:rPr>
          <w:rFonts w:ascii="Bookman Old Style" w:hAnsi="Bookman Old Style"/>
          <w:spacing w:val="4"/>
          <w:sz w:val="22"/>
          <w:szCs w:val="22"/>
        </w:rPr>
        <w:t xml:space="preserve"> l'agente della riscossione comunica ai debitori che hanno presentato la dichiarazione di adesione l'ammontare complessivo delle somme dovute ai fini della definizione, nonché quello delle singole rate, che non p</w:t>
      </w:r>
      <w:r w:rsidR="00B36E11">
        <w:rPr>
          <w:rFonts w:ascii="Bookman Old Style" w:hAnsi="Bookman Old Style"/>
          <w:spacing w:val="4"/>
          <w:sz w:val="22"/>
          <w:szCs w:val="22"/>
        </w:rPr>
        <w:t>ossono</w:t>
      </w:r>
      <w:r w:rsidRPr="00F27C75">
        <w:rPr>
          <w:rFonts w:ascii="Bookman Old Style" w:hAnsi="Bookman Old Style"/>
          <w:spacing w:val="4"/>
          <w:sz w:val="22"/>
          <w:szCs w:val="22"/>
        </w:rPr>
        <w:t xml:space="preserve"> essere </w:t>
      </w:r>
      <w:r w:rsidR="00B3322D" w:rsidRPr="00F27C75">
        <w:rPr>
          <w:rFonts w:ascii="Bookman Old Style" w:hAnsi="Bookman Old Style"/>
          <w:spacing w:val="4"/>
          <w:sz w:val="22"/>
          <w:szCs w:val="22"/>
        </w:rPr>
        <w:t>inferior</w:t>
      </w:r>
      <w:r w:rsidR="00B3322D">
        <w:rPr>
          <w:rFonts w:ascii="Bookman Old Style" w:hAnsi="Bookman Old Style"/>
          <w:spacing w:val="4"/>
          <w:sz w:val="22"/>
          <w:szCs w:val="22"/>
        </w:rPr>
        <w:t>i</w:t>
      </w:r>
      <w:r w:rsidR="00B3322D" w:rsidRPr="00F27C75">
        <w:rPr>
          <w:rFonts w:ascii="Bookman Old Style" w:hAnsi="Bookman Old Style"/>
          <w:spacing w:val="4"/>
          <w:sz w:val="22"/>
          <w:szCs w:val="22"/>
        </w:rPr>
        <w:t xml:space="preserve"> </w:t>
      </w:r>
      <w:r w:rsidRPr="00F27C75">
        <w:rPr>
          <w:rFonts w:ascii="Bookman Old Style" w:hAnsi="Bookman Old Style"/>
          <w:spacing w:val="4"/>
          <w:sz w:val="22"/>
          <w:szCs w:val="22"/>
        </w:rPr>
        <w:t xml:space="preserve">a 100 euro, </w:t>
      </w:r>
      <w:r w:rsidR="00B3322D">
        <w:rPr>
          <w:rFonts w:ascii="Bookman Old Style" w:hAnsi="Bookman Old Style"/>
          <w:spacing w:val="4"/>
          <w:sz w:val="22"/>
          <w:szCs w:val="22"/>
        </w:rPr>
        <w:t>con le relative scadenze</w:t>
      </w:r>
      <w:r w:rsidRPr="00F27C75">
        <w:rPr>
          <w:rFonts w:ascii="Bookman Old Style" w:hAnsi="Bookman Old Style"/>
          <w:spacing w:val="4"/>
          <w:sz w:val="22"/>
          <w:szCs w:val="22"/>
        </w:rPr>
        <w:t>;</w:t>
      </w:r>
    </w:p>
    <w:p w14:paraId="7209A96A" w14:textId="3BEA9606" w:rsidR="00B3322D" w:rsidRPr="00641BF1" w:rsidRDefault="00B3322D" w:rsidP="00641BF1">
      <w:pPr>
        <w:pStyle w:val="testo"/>
        <w:numPr>
          <w:ilvl w:val="0"/>
          <w:numId w:val="1"/>
        </w:numPr>
        <w:spacing w:after="80" w:line="259" w:lineRule="auto"/>
        <w:ind w:left="426" w:firstLine="0"/>
        <w:rPr>
          <w:rFonts w:ascii="Bookman Old Style" w:hAnsi="Bookman Old Style"/>
          <w:spacing w:val="4"/>
          <w:sz w:val="22"/>
          <w:szCs w:val="22"/>
        </w:rPr>
      </w:pPr>
      <w:r w:rsidRPr="00641BF1">
        <w:rPr>
          <w:rFonts w:ascii="Bookman Old Style" w:hAnsi="Bookman Old Style"/>
          <w:spacing w:val="4"/>
          <w:sz w:val="22"/>
          <w:szCs w:val="22"/>
        </w:rPr>
        <w:t xml:space="preserve">l’art. 1, comma 95, legge n. 199 del 2025, disciplina </w:t>
      </w:r>
      <w:r w:rsidR="00641BF1" w:rsidRPr="00641BF1">
        <w:rPr>
          <w:rFonts w:ascii="Bookman Old Style" w:hAnsi="Bookman Old Style"/>
          <w:spacing w:val="4"/>
          <w:sz w:val="22"/>
          <w:szCs w:val="22"/>
        </w:rPr>
        <w:t xml:space="preserve">la </w:t>
      </w:r>
      <w:r w:rsidRPr="00641BF1">
        <w:rPr>
          <w:rFonts w:ascii="Bookman Old Style" w:hAnsi="Bookman Old Style"/>
          <w:spacing w:val="4"/>
          <w:sz w:val="22"/>
          <w:szCs w:val="22"/>
        </w:rPr>
        <w:t>decadenza dalla definizione</w:t>
      </w:r>
      <w:r w:rsidR="00641BF1" w:rsidRPr="00641BF1">
        <w:rPr>
          <w:rFonts w:ascii="Bookman Old Style" w:hAnsi="Bookman Old Style"/>
          <w:spacing w:val="4"/>
          <w:sz w:val="22"/>
          <w:szCs w:val="22"/>
        </w:rPr>
        <w:t xml:space="preserve"> </w:t>
      </w:r>
      <w:r w:rsidR="00641BF1">
        <w:rPr>
          <w:rFonts w:ascii="Bookman Old Style" w:hAnsi="Bookman Old Style"/>
          <w:spacing w:val="4"/>
          <w:sz w:val="22"/>
          <w:szCs w:val="22"/>
        </w:rPr>
        <w:t xml:space="preserve">a seguito </w:t>
      </w:r>
      <w:r w:rsidR="00641BF1" w:rsidRPr="00641BF1">
        <w:rPr>
          <w:rFonts w:ascii="Bookman Old Style" w:hAnsi="Bookman Old Style"/>
          <w:spacing w:val="4"/>
          <w:sz w:val="22"/>
          <w:szCs w:val="22"/>
        </w:rPr>
        <w:t>di mancato o di insufficiente versamento dell’unica rata scelta dal debitore o, in caso di rateazione, di due rate, anche non consecutive o dell’ultima rata del piano di rateazione, fermo restando la tolleranza del tardivo versamento non superiore a 5 giorni</w:t>
      </w:r>
      <w:r w:rsidR="00641BF1">
        <w:rPr>
          <w:rFonts w:ascii="Bookman Old Style" w:hAnsi="Bookman Old Style"/>
          <w:spacing w:val="4"/>
          <w:sz w:val="22"/>
          <w:szCs w:val="22"/>
        </w:rPr>
        <w:t>; in tali casi</w:t>
      </w:r>
      <w:r w:rsidRPr="00641BF1">
        <w:rPr>
          <w:rFonts w:ascii="Bookman Old Style" w:hAnsi="Bookman Old Style"/>
          <w:spacing w:val="4"/>
          <w:sz w:val="22"/>
          <w:szCs w:val="22"/>
        </w:rPr>
        <w:t xml:space="preserve"> la </w:t>
      </w:r>
      <w:r w:rsidR="00641BF1">
        <w:rPr>
          <w:rFonts w:ascii="Bookman Old Style" w:hAnsi="Bookman Old Style"/>
          <w:spacing w:val="4"/>
          <w:sz w:val="22"/>
          <w:szCs w:val="22"/>
        </w:rPr>
        <w:t xml:space="preserve">definizione agevolata </w:t>
      </w:r>
      <w:r w:rsidRPr="00641BF1">
        <w:rPr>
          <w:rFonts w:ascii="Bookman Old Style" w:hAnsi="Bookman Old Style"/>
          <w:spacing w:val="4"/>
          <w:sz w:val="22"/>
          <w:szCs w:val="22"/>
        </w:rPr>
        <w:t>non produce effetti, riprendendo di conseguenza a decorrere i termini di prescrizione e di decadenza per il recupero dei carichi oggetto di dichiarazione, che prosegue a cura dell'agente della riscossione, mentre i versamenti effettuati sono acquisiti a titolo di acconto dell'importo complessivamente dovuto a seguito dell'affidamento del carico, senza che si determini l'estinzione del debito residuo.</w:t>
      </w:r>
    </w:p>
    <w:p w14:paraId="77B52E9B" w14:textId="77777777" w:rsidR="00B3322D" w:rsidRDefault="00B3322D" w:rsidP="00F27C75">
      <w:pPr>
        <w:pStyle w:val="testo"/>
        <w:spacing w:after="80" w:line="259" w:lineRule="auto"/>
        <w:rPr>
          <w:rFonts w:ascii="Bookman Old Style" w:hAnsi="Bookman Old Style"/>
          <w:spacing w:val="4"/>
          <w:sz w:val="22"/>
          <w:szCs w:val="22"/>
        </w:rPr>
      </w:pPr>
    </w:p>
    <w:p w14:paraId="7CC9EE1C" w14:textId="77777777" w:rsidR="00F27C75" w:rsidRPr="00890364" w:rsidRDefault="00890364" w:rsidP="00F27C75">
      <w:pPr>
        <w:pStyle w:val="testo"/>
        <w:spacing w:after="80" w:line="259" w:lineRule="auto"/>
        <w:rPr>
          <w:rFonts w:ascii="Bookman Old Style" w:hAnsi="Bookman Old Style"/>
          <w:b/>
          <w:bCs/>
          <w:spacing w:val="4"/>
          <w:sz w:val="22"/>
          <w:szCs w:val="22"/>
        </w:rPr>
      </w:pPr>
      <w:r w:rsidRPr="00890364">
        <w:rPr>
          <w:rFonts w:ascii="Bookman Old Style" w:hAnsi="Bookman Old Style"/>
          <w:b/>
          <w:bCs/>
          <w:spacing w:val="4"/>
          <w:sz w:val="22"/>
          <w:szCs w:val="22"/>
        </w:rPr>
        <w:t>CONSIDERATO INOLTRE CHE:</w:t>
      </w:r>
    </w:p>
    <w:p w14:paraId="69C0A779" w14:textId="77777777" w:rsidR="00460278" w:rsidRDefault="00890364" w:rsidP="00890364">
      <w:pPr>
        <w:pStyle w:val="testo"/>
        <w:numPr>
          <w:ilvl w:val="0"/>
          <w:numId w:val="1"/>
        </w:numPr>
        <w:spacing w:after="80" w:line="259" w:lineRule="auto"/>
        <w:ind w:left="426" w:firstLine="0"/>
        <w:rPr>
          <w:rFonts w:ascii="Bookman Old Style" w:hAnsi="Bookman Old Style"/>
          <w:spacing w:val="4"/>
          <w:sz w:val="22"/>
          <w:szCs w:val="22"/>
        </w:rPr>
      </w:pPr>
      <w:r w:rsidRPr="00460278">
        <w:rPr>
          <w:rFonts w:ascii="Bookman Old Style" w:hAnsi="Bookman Old Style"/>
          <w:spacing w:val="4"/>
          <w:sz w:val="22"/>
          <w:szCs w:val="22"/>
        </w:rPr>
        <w:t>l’articolo 10-</w:t>
      </w:r>
      <w:r w:rsidRPr="00460278">
        <w:rPr>
          <w:rFonts w:ascii="Bookman Old Style" w:hAnsi="Bookman Old Style"/>
          <w:i/>
          <w:iCs/>
          <w:spacing w:val="4"/>
          <w:sz w:val="22"/>
          <w:szCs w:val="22"/>
        </w:rPr>
        <w:t>quinquies</w:t>
      </w:r>
      <w:r w:rsidRPr="00460278">
        <w:rPr>
          <w:rFonts w:ascii="Bookman Old Style" w:hAnsi="Bookman Old Style"/>
          <w:spacing w:val="4"/>
          <w:sz w:val="22"/>
          <w:szCs w:val="22"/>
        </w:rPr>
        <w:t xml:space="preserve">, </w:t>
      </w:r>
      <w:proofErr w:type="spellStart"/>
      <w:r w:rsidRPr="00460278">
        <w:rPr>
          <w:rFonts w:ascii="Bookman Old Style" w:hAnsi="Bookman Old Style"/>
          <w:spacing w:val="4"/>
          <w:sz w:val="22"/>
          <w:szCs w:val="22"/>
        </w:rPr>
        <w:t>d.l.</w:t>
      </w:r>
      <w:proofErr w:type="spellEnd"/>
      <w:r w:rsidRPr="00460278">
        <w:rPr>
          <w:rFonts w:ascii="Bookman Old Style" w:hAnsi="Bookman Old Style"/>
          <w:spacing w:val="4"/>
          <w:sz w:val="22"/>
          <w:szCs w:val="22"/>
        </w:rPr>
        <w:t xml:space="preserve"> n. 38 del 2026</w:t>
      </w:r>
      <w:r w:rsidR="00460278" w:rsidRPr="00460278">
        <w:rPr>
          <w:rFonts w:ascii="Bookman Old Style" w:hAnsi="Bookman Old Style"/>
          <w:spacing w:val="4"/>
          <w:sz w:val="22"/>
          <w:szCs w:val="22"/>
        </w:rPr>
        <w:t xml:space="preserve"> </w:t>
      </w:r>
      <w:r w:rsidRPr="00460278">
        <w:rPr>
          <w:rFonts w:ascii="Bookman Old Style" w:hAnsi="Bookman Old Style"/>
          <w:spacing w:val="4"/>
          <w:sz w:val="22"/>
          <w:szCs w:val="22"/>
        </w:rPr>
        <w:t>prevede al comma 2 che “</w:t>
      </w:r>
      <w:r w:rsidRPr="00460278">
        <w:rPr>
          <w:rFonts w:ascii="Bookman Old Style" w:hAnsi="Bookman Old Style"/>
          <w:i/>
          <w:iCs/>
          <w:spacing w:val="4"/>
          <w:sz w:val="22"/>
          <w:szCs w:val="22"/>
        </w:rPr>
        <w:t>I provvedimenti adottati dagli enti creditori ai sensi del comma 1 sono pubblicati nel sito internet istituzionale degli stessi enti e comunicati, entro il 30 giugno 2026, all’agente della riscossione con le modalità che lo stesso agente rende disponibili nel proprio sito internet istituzionale entro il 15 giugno 2026</w:t>
      </w:r>
      <w:r w:rsidRPr="00460278">
        <w:rPr>
          <w:rFonts w:ascii="Bookman Old Style" w:hAnsi="Bookman Old Style"/>
          <w:spacing w:val="4"/>
          <w:sz w:val="22"/>
          <w:szCs w:val="22"/>
        </w:rPr>
        <w:t>”</w:t>
      </w:r>
      <w:r w:rsidR="00460278">
        <w:rPr>
          <w:rFonts w:ascii="Bookman Old Style" w:hAnsi="Bookman Old Style"/>
          <w:spacing w:val="4"/>
          <w:sz w:val="22"/>
          <w:szCs w:val="22"/>
        </w:rPr>
        <w:t>;</w:t>
      </w:r>
    </w:p>
    <w:p w14:paraId="1EE5BE2D" w14:textId="199E19C0" w:rsidR="00890364" w:rsidRDefault="00641BF1" w:rsidP="00890364">
      <w:pPr>
        <w:pStyle w:val="testo"/>
        <w:numPr>
          <w:ilvl w:val="0"/>
          <w:numId w:val="1"/>
        </w:numPr>
        <w:spacing w:after="80" w:line="259" w:lineRule="auto"/>
        <w:ind w:left="426" w:firstLine="0"/>
        <w:rPr>
          <w:rFonts w:ascii="Bookman Old Style" w:hAnsi="Bookman Old Style"/>
          <w:spacing w:val="4"/>
          <w:sz w:val="22"/>
          <w:szCs w:val="22"/>
        </w:rPr>
      </w:pPr>
      <w:r w:rsidRPr="001C7C35">
        <w:rPr>
          <w:rFonts w:ascii="Bookman Old Style" w:hAnsi="Bookman Old Style"/>
          <w:spacing w:val="4"/>
          <w:sz w:val="22"/>
          <w:szCs w:val="22"/>
        </w:rPr>
        <w:t>lo stesso comma 2 dispone altresì</w:t>
      </w:r>
      <w:r>
        <w:rPr>
          <w:rFonts w:ascii="Bookman Old Style" w:hAnsi="Bookman Old Style"/>
          <w:spacing w:val="4"/>
          <w:sz w:val="22"/>
          <w:szCs w:val="22"/>
        </w:rPr>
        <w:t xml:space="preserve"> che </w:t>
      </w:r>
      <w:r w:rsidR="00460278">
        <w:rPr>
          <w:rFonts w:ascii="Bookman Old Style" w:hAnsi="Bookman Old Style"/>
          <w:spacing w:val="4"/>
          <w:sz w:val="22"/>
          <w:szCs w:val="22"/>
        </w:rPr>
        <w:t>l</w:t>
      </w:r>
      <w:r w:rsidR="00890364" w:rsidRPr="00460278">
        <w:rPr>
          <w:rFonts w:ascii="Bookman Old Style" w:hAnsi="Bookman Old Style"/>
          <w:spacing w:val="4"/>
          <w:sz w:val="22"/>
          <w:szCs w:val="22"/>
        </w:rPr>
        <w:t xml:space="preserve">a delibera </w:t>
      </w:r>
      <w:r w:rsidRPr="00460278">
        <w:rPr>
          <w:rFonts w:ascii="Bookman Old Style" w:hAnsi="Bookman Old Style"/>
          <w:spacing w:val="4"/>
          <w:sz w:val="22"/>
          <w:szCs w:val="22"/>
        </w:rPr>
        <w:t>consi</w:t>
      </w:r>
      <w:r>
        <w:rPr>
          <w:rFonts w:ascii="Bookman Old Style" w:hAnsi="Bookman Old Style"/>
          <w:spacing w:val="4"/>
          <w:sz w:val="22"/>
          <w:szCs w:val="22"/>
        </w:rPr>
        <w:t>l</w:t>
      </w:r>
      <w:r w:rsidRPr="00460278">
        <w:rPr>
          <w:rFonts w:ascii="Bookman Old Style" w:hAnsi="Bookman Old Style"/>
          <w:spacing w:val="4"/>
          <w:sz w:val="22"/>
          <w:szCs w:val="22"/>
        </w:rPr>
        <w:t xml:space="preserve">iare </w:t>
      </w:r>
      <w:r w:rsidR="00890364" w:rsidRPr="00460278">
        <w:rPr>
          <w:rFonts w:ascii="Bookman Old Style" w:hAnsi="Bookman Old Style"/>
          <w:spacing w:val="4"/>
          <w:sz w:val="22"/>
          <w:szCs w:val="22"/>
        </w:rPr>
        <w:t xml:space="preserve">di adesione alla rottamazione </w:t>
      </w:r>
      <w:r w:rsidR="00890364" w:rsidRPr="00FA151C">
        <w:rPr>
          <w:rFonts w:ascii="Bookman Old Style" w:hAnsi="Bookman Old Style"/>
          <w:i/>
          <w:iCs/>
          <w:spacing w:val="4"/>
          <w:sz w:val="22"/>
          <w:szCs w:val="22"/>
        </w:rPr>
        <w:t>quinquies</w:t>
      </w:r>
      <w:r w:rsidR="00890364" w:rsidRPr="00FA151C">
        <w:rPr>
          <w:rFonts w:ascii="Bookman Old Style" w:hAnsi="Bookman Old Style"/>
          <w:spacing w:val="4"/>
          <w:sz w:val="22"/>
          <w:szCs w:val="22"/>
        </w:rPr>
        <w:t xml:space="preserve"> a</w:t>
      </w:r>
      <w:r w:rsidR="00890364" w:rsidRPr="00460278">
        <w:rPr>
          <w:rFonts w:ascii="Bookman Old Style" w:hAnsi="Bookman Old Style"/>
          <w:spacing w:val="4"/>
          <w:sz w:val="22"/>
          <w:szCs w:val="22"/>
        </w:rPr>
        <w:t xml:space="preserve">cquista efficacia con la pubblicazione sul sito </w:t>
      </w:r>
      <w:r w:rsidR="00890364" w:rsidRPr="00460278">
        <w:rPr>
          <w:rFonts w:ascii="Bookman Old Style" w:hAnsi="Bookman Old Style"/>
          <w:i/>
          <w:iCs/>
          <w:spacing w:val="4"/>
          <w:sz w:val="22"/>
          <w:szCs w:val="22"/>
        </w:rPr>
        <w:t>internet</w:t>
      </w:r>
      <w:r w:rsidR="00890364" w:rsidRPr="00460278">
        <w:rPr>
          <w:rFonts w:ascii="Bookman Old Style" w:hAnsi="Bookman Old Style"/>
          <w:spacing w:val="4"/>
          <w:sz w:val="22"/>
          <w:szCs w:val="22"/>
        </w:rPr>
        <w:t xml:space="preserve"> istituzionale dell’ente e ciò in deroga </w:t>
      </w:r>
      <w:r w:rsidR="00890364" w:rsidRPr="00460278">
        <w:rPr>
          <w:rFonts w:ascii="Bookman Old Style" w:hAnsi="Bookman Old Style"/>
          <w:i/>
          <w:iCs/>
          <w:spacing w:val="4"/>
          <w:sz w:val="22"/>
          <w:szCs w:val="22"/>
        </w:rPr>
        <w:t xml:space="preserve"> “all’articolo 13, commi 15, 15-ter, 15-quater e 15-quinquies, del decreto-legge 6 dicembre 2011, n. 201, convertito, con </w:t>
      </w:r>
      <w:r w:rsidR="00890364" w:rsidRPr="00460278">
        <w:rPr>
          <w:rFonts w:ascii="Bookman Old Style" w:hAnsi="Bookman Old Style"/>
          <w:i/>
          <w:iCs/>
          <w:spacing w:val="4"/>
          <w:sz w:val="22"/>
          <w:szCs w:val="22"/>
        </w:rPr>
        <w:lastRenderedPageBreak/>
        <w:t>modificazioni, dalla legge 22 dicembre 2011, n. 214, all’articolo 1, comma 3, del decreto legislativo 28 settembre 1998, n. 360, all’articolo 14, comma 8, del decreto legislativo 14 marzo 2011, n. 23, e all’articolo 1, comma 767, della legge 27 dicembre 2019, n. 160,</w:t>
      </w:r>
      <w:r>
        <w:rPr>
          <w:rFonts w:ascii="Bookman Old Style" w:hAnsi="Bookman Old Style"/>
          <w:i/>
          <w:iCs/>
          <w:spacing w:val="4"/>
          <w:sz w:val="22"/>
          <w:szCs w:val="22"/>
        </w:rPr>
        <w:t>”</w:t>
      </w:r>
      <w:r w:rsidRPr="001C7C35">
        <w:rPr>
          <w:rFonts w:ascii="Bookman Old Style" w:hAnsi="Bookman Old Style"/>
          <w:spacing w:val="4"/>
          <w:sz w:val="22"/>
          <w:szCs w:val="22"/>
        </w:rPr>
        <w:t xml:space="preserve"> </w:t>
      </w:r>
      <w:r w:rsidR="00890364" w:rsidRPr="001C7C35">
        <w:rPr>
          <w:rFonts w:ascii="Bookman Old Style" w:hAnsi="Bookman Old Style"/>
          <w:spacing w:val="4"/>
          <w:sz w:val="22"/>
          <w:szCs w:val="22"/>
        </w:rPr>
        <w:t xml:space="preserve">e </w:t>
      </w:r>
      <w:r>
        <w:rPr>
          <w:rFonts w:ascii="Bookman Old Style" w:hAnsi="Bookman Old Style"/>
          <w:spacing w:val="4"/>
          <w:sz w:val="22"/>
          <w:szCs w:val="22"/>
        </w:rPr>
        <w:t>che</w:t>
      </w:r>
      <w:r w:rsidR="00A34C1E">
        <w:rPr>
          <w:rFonts w:ascii="Bookman Old Style" w:hAnsi="Bookman Old Style"/>
          <w:spacing w:val="4"/>
          <w:sz w:val="22"/>
          <w:szCs w:val="22"/>
        </w:rPr>
        <w:t xml:space="preserve"> </w:t>
      </w:r>
      <w:r w:rsidRPr="001C7C35">
        <w:rPr>
          <w:rFonts w:ascii="Bookman Old Style" w:hAnsi="Bookman Old Style"/>
          <w:spacing w:val="4"/>
          <w:sz w:val="22"/>
          <w:szCs w:val="22"/>
        </w:rPr>
        <w:t xml:space="preserve">la delibera stessa </w:t>
      </w:r>
      <w:r>
        <w:rPr>
          <w:rFonts w:ascii="Bookman Old Style" w:hAnsi="Bookman Old Style"/>
          <w:spacing w:val="4"/>
          <w:sz w:val="22"/>
          <w:szCs w:val="22"/>
        </w:rPr>
        <w:t>deve essere trasmessa</w:t>
      </w:r>
      <w:r w:rsidR="00890364" w:rsidRPr="001C7C35">
        <w:rPr>
          <w:rFonts w:ascii="Bookman Old Style" w:hAnsi="Bookman Old Style"/>
          <w:spacing w:val="4"/>
          <w:sz w:val="22"/>
          <w:szCs w:val="22"/>
        </w:rPr>
        <w:t>, ai soli fini statistici, al Ministero dell’economia e delle finanze – Dipartimento delle finanze, entro sessanta giorni dalla data di pubblicazione</w:t>
      </w:r>
      <w:r w:rsidR="00460278">
        <w:rPr>
          <w:rFonts w:ascii="Bookman Old Style" w:hAnsi="Bookman Old Style"/>
          <w:spacing w:val="4"/>
          <w:sz w:val="22"/>
          <w:szCs w:val="22"/>
        </w:rPr>
        <w:t>;</w:t>
      </w:r>
    </w:p>
    <w:p w14:paraId="6EBD896E" w14:textId="77777777" w:rsidR="00A97F3F" w:rsidRPr="00FA151C" w:rsidRDefault="00A97F3F" w:rsidP="00A97F3F">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FA151C">
        <w:rPr>
          <w:rFonts w:ascii="Bookman Old Style" w:hAnsi="Bookman Old Style"/>
          <w:spacing w:val="4"/>
          <w:sz w:val="22"/>
          <w:szCs w:val="22"/>
        </w:rPr>
        <w:t>’art. 1, comma 101, legge n. 199 del 2025, dispone che a seguito del pagamento delle somme dovute per la definizione agevolata, l'agente della riscossione è automaticamente discaricato dell'importo residuo. Al fine di consentire agli enti creditori di eliminare dalle proprie scritture patrimoniali i crediti corrispondenti alle quote discaricate, lo stesso agente della riscossione trasmette, anche in via telematica, a ciascun ente interessato, entro il 31 dicembre 2036, l'elenco dei debitori che si sono avvalsi della definizione e dei codici tributo per i quali è stato effettuato il versamento.</w:t>
      </w:r>
    </w:p>
    <w:p w14:paraId="784E2CEE" w14:textId="77777777" w:rsidR="00A97F3F" w:rsidRDefault="00A97F3F" w:rsidP="001C7C35">
      <w:pPr>
        <w:pStyle w:val="testo"/>
        <w:spacing w:after="80" w:line="259" w:lineRule="auto"/>
        <w:ind w:left="426" w:firstLine="0"/>
        <w:rPr>
          <w:rFonts w:ascii="Bookman Old Style" w:hAnsi="Bookman Old Style"/>
          <w:spacing w:val="4"/>
          <w:sz w:val="22"/>
          <w:szCs w:val="22"/>
        </w:rPr>
      </w:pPr>
    </w:p>
    <w:p w14:paraId="7408046F" w14:textId="49243ADC" w:rsidR="00A97F3F" w:rsidRPr="00104D00" w:rsidRDefault="00A97F3F" w:rsidP="001C7C35">
      <w:pPr>
        <w:pStyle w:val="testo"/>
        <w:spacing w:before="160" w:after="40" w:line="276" w:lineRule="auto"/>
        <w:ind w:left="426" w:firstLine="0"/>
        <w:rPr>
          <w:rFonts w:ascii="Bookman Old Style" w:hAnsi="Bookman Old Style"/>
          <w:spacing w:val="4"/>
          <w:sz w:val="22"/>
          <w:szCs w:val="22"/>
          <w:highlight w:val="yellow"/>
        </w:rPr>
      </w:pPr>
      <w:r>
        <w:rPr>
          <w:rFonts w:ascii="Bookman Old Style" w:hAnsi="Bookman Old Style"/>
          <w:b/>
          <w:spacing w:val="4"/>
          <w:sz w:val="22"/>
          <w:szCs w:val="22"/>
        </w:rPr>
        <w:t xml:space="preserve">CONSIDERATO ALTRESÌ </w:t>
      </w:r>
      <w:r w:rsidR="00923CE4" w:rsidRPr="00923CE4">
        <w:rPr>
          <w:rFonts w:ascii="Bookman Old Style" w:hAnsi="Bookman Old Style"/>
          <w:b/>
          <w:spacing w:val="4"/>
          <w:sz w:val="22"/>
          <w:szCs w:val="22"/>
        </w:rPr>
        <w:t>CHE</w:t>
      </w:r>
      <w:r w:rsidR="00923CE4">
        <w:rPr>
          <w:rFonts w:ascii="Bookman Old Style" w:hAnsi="Bookman Old Style"/>
          <w:b/>
          <w:spacing w:val="4"/>
          <w:sz w:val="22"/>
          <w:szCs w:val="22"/>
        </w:rPr>
        <w:t>:</w:t>
      </w:r>
    </w:p>
    <w:p w14:paraId="729EFC73" w14:textId="75BAD95D" w:rsidR="00A97F3F" w:rsidRPr="006366B1" w:rsidRDefault="00A97F3F"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l’adesione alla rottamazione da parte del Comune consente l’acquisizione di crediti in larga parte di difficile esigibilità e di origine risalente nel tempo</w:t>
      </w:r>
      <w:r w:rsidR="00C159A9" w:rsidRPr="006366B1">
        <w:rPr>
          <w:rFonts w:ascii="Bookman Old Style" w:hAnsi="Bookman Old Style"/>
          <w:spacing w:val="4"/>
          <w:sz w:val="22"/>
          <w:szCs w:val="22"/>
        </w:rPr>
        <w:t xml:space="preserve">, accelera la regolarizzazione di posizioni creditorie e abbatte </w:t>
      </w:r>
      <w:r w:rsidR="00176842" w:rsidRPr="006366B1">
        <w:rPr>
          <w:rFonts w:ascii="Bookman Old Style" w:hAnsi="Bookman Old Style"/>
          <w:spacing w:val="4"/>
          <w:sz w:val="22"/>
          <w:szCs w:val="22"/>
        </w:rPr>
        <w:t xml:space="preserve">possibilità di contenzioso </w:t>
      </w:r>
      <w:proofErr w:type="gramStart"/>
      <w:r w:rsidR="00176842" w:rsidRPr="006366B1">
        <w:rPr>
          <w:rFonts w:ascii="Bookman Old Style" w:hAnsi="Bookman Old Style"/>
          <w:spacing w:val="4"/>
          <w:sz w:val="22"/>
          <w:szCs w:val="22"/>
        </w:rPr>
        <w:t>e</w:t>
      </w:r>
      <w:proofErr w:type="gramEnd"/>
      <w:r w:rsidR="00176842" w:rsidRPr="006366B1">
        <w:rPr>
          <w:rFonts w:ascii="Bookman Old Style" w:hAnsi="Bookman Old Style"/>
          <w:spacing w:val="4"/>
          <w:sz w:val="22"/>
          <w:szCs w:val="22"/>
        </w:rPr>
        <w:t xml:space="preserve"> esigenze di gestione dei crediti pregressi, anche a seguito della riconsegna da parte dell’agente della riscossione prevista dalla riforma della riscossione di cui al decreto legislativo 110/202</w:t>
      </w:r>
      <w:r w:rsidR="006373F6" w:rsidRPr="006366B1">
        <w:rPr>
          <w:rFonts w:ascii="Bookman Old Style" w:hAnsi="Bookman Old Style"/>
          <w:spacing w:val="4"/>
          <w:sz w:val="22"/>
          <w:szCs w:val="22"/>
        </w:rPr>
        <w:t>4, art. 7, comma 2.</w:t>
      </w:r>
    </w:p>
    <w:p w14:paraId="5847B7CB" w14:textId="596E497A" w:rsidR="00923CE4" w:rsidRPr="006366B1" w:rsidRDefault="00B679C7"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dalle verifiche effettuate dai competenti uffici comunali </w:t>
      </w:r>
      <w:r w:rsidR="00104D00" w:rsidRPr="006366B1">
        <w:rPr>
          <w:rFonts w:ascii="Bookman Old Style" w:hAnsi="Bookman Old Style"/>
          <w:spacing w:val="4"/>
          <w:sz w:val="22"/>
          <w:szCs w:val="22"/>
        </w:rPr>
        <w:t xml:space="preserve">sulla base dei dati resi disponibili </w:t>
      </w:r>
      <w:r w:rsidRPr="006366B1">
        <w:rPr>
          <w:rFonts w:ascii="Bookman Old Style" w:hAnsi="Bookman Old Style"/>
          <w:spacing w:val="4"/>
          <w:sz w:val="22"/>
          <w:szCs w:val="22"/>
        </w:rPr>
        <w:t>d</w:t>
      </w:r>
      <w:r w:rsidR="00104D00" w:rsidRPr="006366B1">
        <w:rPr>
          <w:rFonts w:ascii="Bookman Old Style" w:hAnsi="Bookman Old Style"/>
          <w:spacing w:val="4"/>
          <w:sz w:val="22"/>
          <w:szCs w:val="22"/>
        </w:rPr>
        <w:t>a</w:t>
      </w:r>
      <w:r w:rsidRPr="006366B1">
        <w:rPr>
          <w:rFonts w:ascii="Bookman Old Style" w:hAnsi="Bookman Old Style"/>
          <w:spacing w:val="4"/>
          <w:sz w:val="22"/>
          <w:szCs w:val="22"/>
        </w:rPr>
        <w:t>ll’agente della riscossione risulta</w:t>
      </w:r>
      <w:r w:rsidR="002E4633" w:rsidRPr="006366B1">
        <w:rPr>
          <w:rFonts w:ascii="Bookman Old Style" w:hAnsi="Bookman Old Style"/>
          <w:spacing w:val="4"/>
          <w:sz w:val="22"/>
          <w:szCs w:val="22"/>
        </w:rPr>
        <w:t xml:space="preserve"> </w:t>
      </w:r>
      <w:r w:rsidRPr="006366B1">
        <w:rPr>
          <w:rFonts w:ascii="Bookman Old Style" w:hAnsi="Bookman Old Style"/>
          <w:spacing w:val="4"/>
          <w:sz w:val="22"/>
          <w:szCs w:val="22"/>
        </w:rPr>
        <w:t>che i carichi iscritti a</w:t>
      </w:r>
      <w:r w:rsidR="00923CE4" w:rsidRPr="006366B1">
        <w:rPr>
          <w:rFonts w:ascii="Bookman Old Style" w:hAnsi="Bookman Old Style"/>
          <w:spacing w:val="4"/>
          <w:sz w:val="22"/>
          <w:szCs w:val="22"/>
        </w:rPr>
        <w:t>mmontano complessivamente ad euro</w:t>
      </w:r>
      <w:r w:rsidR="00104D00" w:rsidRPr="006366B1">
        <w:rPr>
          <w:rFonts w:ascii="Bookman Old Style" w:hAnsi="Bookman Old Style"/>
          <w:spacing w:val="4"/>
          <w:sz w:val="22"/>
          <w:szCs w:val="22"/>
        </w:rPr>
        <w:t xml:space="preserve"> </w:t>
      </w:r>
      <w:r w:rsidR="00923CE4" w:rsidRPr="006366B1">
        <w:rPr>
          <w:rFonts w:ascii="Bookman Old Style" w:hAnsi="Bookman Old Style"/>
          <w:spacing w:val="4"/>
          <w:sz w:val="22"/>
          <w:szCs w:val="22"/>
        </w:rPr>
        <w:t>…</w:t>
      </w:r>
      <w:proofErr w:type="gramStart"/>
      <w:r w:rsidR="00923CE4" w:rsidRPr="006366B1">
        <w:rPr>
          <w:rFonts w:ascii="Bookman Old Style" w:hAnsi="Bookman Old Style"/>
          <w:spacing w:val="4"/>
          <w:sz w:val="22"/>
          <w:szCs w:val="22"/>
        </w:rPr>
        <w:t>…….</w:t>
      </w:r>
      <w:proofErr w:type="gramEnd"/>
      <w:r w:rsidR="00923CE4" w:rsidRPr="006366B1">
        <w:rPr>
          <w:rFonts w:ascii="Bookman Old Style" w:hAnsi="Bookman Old Style"/>
          <w:spacing w:val="4"/>
          <w:sz w:val="22"/>
          <w:szCs w:val="22"/>
        </w:rPr>
        <w:t>;</w:t>
      </w:r>
    </w:p>
    <w:p w14:paraId="5262D5DD" w14:textId="7C02C8A5" w:rsidR="00923CE4" w:rsidRPr="006366B1" w:rsidRDefault="00923CE4"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nel bilancio comunale risultano iscritti residui attivi relativi ai carichi affidati all’agente </w:t>
      </w:r>
      <w:r w:rsidR="00971B63" w:rsidRPr="006366B1">
        <w:rPr>
          <w:rFonts w:ascii="Bookman Old Style" w:hAnsi="Bookman Old Style"/>
          <w:spacing w:val="4"/>
          <w:sz w:val="22"/>
          <w:szCs w:val="22"/>
        </w:rPr>
        <w:t>della</w:t>
      </w:r>
      <w:r w:rsidR="00104D00" w:rsidRPr="006366B1">
        <w:rPr>
          <w:rFonts w:ascii="Bookman Old Style" w:hAnsi="Bookman Old Style"/>
          <w:spacing w:val="4"/>
          <w:sz w:val="22"/>
          <w:szCs w:val="22"/>
        </w:rPr>
        <w:t xml:space="preserve"> </w:t>
      </w:r>
      <w:r w:rsidRPr="006366B1">
        <w:rPr>
          <w:rFonts w:ascii="Bookman Old Style" w:hAnsi="Bookman Old Style"/>
          <w:spacing w:val="4"/>
          <w:sz w:val="22"/>
          <w:szCs w:val="22"/>
        </w:rPr>
        <w:t>riscossione per euro</w:t>
      </w:r>
      <w:r w:rsidR="00104D00" w:rsidRPr="006366B1">
        <w:rPr>
          <w:rFonts w:ascii="Bookman Old Style" w:hAnsi="Bookman Old Style"/>
          <w:spacing w:val="4"/>
          <w:sz w:val="22"/>
          <w:szCs w:val="22"/>
        </w:rPr>
        <w:t xml:space="preserve"> </w:t>
      </w:r>
      <w:proofErr w:type="gramStart"/>
      <w:r w:rsidRPr="006366B1">
        <w:rPr>
          <w:rFonts w:ascii="Bookman Old Style" w:hAnsi="Bookman Old Style"/>
          <w:spacing w:val="4"/>
          <w:sz w:val="22"/>
          <w:szCs w:val="22"/>
        </w:rPr>
        <w:t>…….</w:t>
      </w:r>
      <w:proofErr w:type="gramEnd"/>
      <w:r w:rsidRPr="006366B1">
        <w:rPr>
          <w:rFonts w:ascii="Bookman Old Style" w:hAnsi="Bookman Old Style"/>
          <w:spacing w:val="4"/>
          <w:sz w:val="22"/>
          <w:szCs w:val="22"/>
        </w:rPr>
        <w:t xml:space="preserve">., essendo i restanti carichi già </w:t>
      </w:r>
      <w:r w:rsidR="006A6E63" w:rsidRPr="006366B1">
        <w:rPr>
          <w:rFonts w:ascii="Bookman Old Style" w:hAnsi="Bookman Old Style"/>
          <w:spacing w:val="4"/>
          <w:sz w:val="22"/>
          <w:szCs w:val="22"/>
        </w:rPr>
        <w:t xml:space="preserve">stati </w:t>
      </w:r>
      <w:r w:rsidRPr="006366B1">
        <w:rPr>
          <w:rFonts w:ascii="Bookman Old Style" w:hAnsi="Bookman Old Style"/>
          <w:spacing w:val="4"/>
          <w:sz w:val="22"/>
          <w:szCs w:val="22"/>
        </w:rPr>
        <w:t>oggetto di stralcio dal bilancio;</w:t>
      </w:r>
    </w:p>
    <w:p w14:paraId="34B36770" w14:textId="3D7E3CD2" w:rsidR="00FA151C" w:rsidRDefault="00923CE4" w:rsidP="00FA151C">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per i residui attivi relativi ai carichi affidati </w:t>
      </w:r>
      <w:proofErr w:type="gramStart"/>
      <w:r w:rsidRPr="006366B1">
        <w:rPr>
          <w:rFonts w:ascii="Bookman Old Style" w:hAnsi="Bookman Old Style"/>
          <w:spacing w:val="4"/>
          <w:sz w:val="22"/>
          <w:szCs w:val="22"/>
        </w:rPr>
        <w:t>ad</w:t>
      </w:r>
      <w:proofErr w:type="gramEnd"/>
      <w:r w:rsidRPr="006366B1">
        <w:rPr>
          <w:rFonts w:ascii="Bookman Old Style" w:hAnsi="Bookman Old Style"/>
          <w:spacing w:val="4"/>
          <w:sz w:val="22"/>
          <w:szCs w:val="22"/>
        </w:rPr>
        <w:t xml:space="preserve"> Ader risultano accantonamenti </w:t>
      </w:r>
      <w:r w:rsidR="009E3EF6">
        <w:rPr>
          <w:rFonts w:ascii="Bookman Old Style" w:hAnsi="Bookman Old Style"/>
          <w:spacing w:val="4"/>
          <w:sz w:val="22"/>
          <w:szCs w:val="22"/>
        </w:rPr>
        <w:t xml:space="preserve">al Fondo crediti di dubbia esigibilità </w:t>
      </w:r>
      <w:r w:rsidRPr="006366B1">
        <w:rPr>
          <w:rFonts w:ascii="Bookman Old Style" w:hAnsi="Bookman Old Style"/>
          <w:spacing w:val="4"/>
          <w:sz w:val="22"/>
          <w:szCs w:val="22"/>
        </w:rPr>
        <w:t>pari ad euro</w:t>
      </w:r>
      <w:r w:rsidR="00104D00" w:rsidRPr="006366B1">
        <w:rPr>
          <w:rFonts w:ascii="Bookman Old Style" w:hAnsi="Bookman Old Style"/>
          <w:spacing w:val="4"/>
          <w:sz w:val="22"/>
          <w:szCs w:val="22"/>
        </w:rPr>
        <w:t xml:space="preserve"> </w:t>
      </w:r>
      <w:proofErr w:type="gramStart"/>
      <w:r w:rsidR="00104D00" w:rsidRPr="006366B1">
        <w:rPr>
          <w:rFonts w:ascii="Bookman Old Style" w:hAnsi="Bookman Old Style"/>
          <w:spacing w:val="4"/>
          <w:sz w:val="22"/>
          <w:szCs w:val="22"/>
        </w:rPr>
        <w:t>…</w:t>
      </w:r>
      <w:r w:rsidRPr="006366B1">
        <w:rPr>
          <w:rFonts w:ascii="Bookman Old Style" w:hAnsi="Bookman Old Style"/>
          <w:spacing w:val="4"/>
          <w:sz w:val="22"/>
          <w:szCs w:val="22"/>
        </w:rPr>
        <w:t>….</w:t>
      </w:r>
      <w:proofErr w:type="gramEnd"/>
      <w:r w:rsidRPr="006366B1">
        <w:rPr>
          <w:rFonts w:ascii="Bookman Old Style" w:hAnsi="Bookman Old Style"/>
          <w:spacing w:val="4"/>
          <w:sz w:val="22"/>
          <w:szCs w:val="22"/>
        </w:rPr>
        <w:t>;</w:t>
      </w:r>
    </w:p>
    <w:p w14:paraId="32A56472" w14:textId="08003AA7" w:rsidR="00007C35" w:rsidRPr="006366B1" w:rsidRDefault="001C6F2F" w:rsidP="00FA151C">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00007C35">
        <w:rPr>
          <w:rFonts w:ascii="Bookman Old Style" w:hAnsi="Bookman Old Style"/>
          <w:spacing w:val="4"/>
          <w:sz w:val="22"/>
          <w:szCs w:val="22"/>
        </w:rPr>
        <w:t xml:space="preserve">adesione </w:t>
      </w:r>
      <w:r w:rsidR="009D53F3">
        <w:rPr>
          <w:rFonts w:ascii="Bookman Old Style" w:hAnsi="Bookman Old Style"/>
          <w:spacing w:val="4"/>
          <w:sz w:val="22"/>
          <w:szCs w:val="22"/>
        </w:rPr>
        <w:t xml:space="preserve">al dispositivo della rottamazione da parte dei contribuenti interessati </w:t>
      </w:r>
      <w:r w:rsidR="00EB61CC">
        <w:rPr>
          <w:rFonts w:ascii="Bookman Old Style" w:hAnsi="Bookman Old Style"/>
          <w:spacing w:val="4"/>
          <w:sz w:val="22"/>
          <w:szCs w:val="22"/>
        </w:rPr>
        <w:t xml:space="preserve">viene stimato prudenzialmente nel </w:t>
      </w:r>
      <w:r w:rsidR="002B557D">
        <w:rPr>
          <w:rFonts w:ascii="Bookman Old Style" w:hAnsi="Bookman Old Style"/>
          <w:spacing w:val="4"/>
          <w:sz w:val="22"/>
          <w:szCs w:val="22"/>
        </w:rPr>
        <w:t xml:space="preserve">…. </w:t>
      </w:r>
      <w:r w:rsidR="00EB61CC">
        <w:rPr>
          <w:rFonts w:ascii="Bookman Old Style" w:hAnsi="Bookman Old Style"/>
          <w:spacing w:val="4"/>
          <w:sz w:val="22"/>
          <w:szCs w:val="22"/>
        </w:rPr>
        <w:t>[</w:t>
      </w:r>
      <w:r w:rsidR="00EB61CC" w:rsidRPr="002B557D">
        <w:rPr>
          <w:rFonts w:ascii="Bookman Old Style" w:hAnsi="Bookman Old Style"/>
          <w:b/>
          <w:bCs/>
          <w:color w:val="EE0000"/>
          <w:spacing w:val="4"/>
          <w:sz w:val="22"/>
          <w:szCs w:val="22"/>
        </w:rPr>
        <w:t>50/70 per cento, da valutare localmente</w:t>
      </w:r>
      <w:r w:rsidR="00EB61CC">
        <w:rPr>
          <w:rFonts w:ascii="Bookman Old Style" w:hAnsi="Bookman Old Style"/>
          <w:spacing w:val="4"/>
          <w:sz w:val="22"/>
          <w:szCs w:val="22"/>
        </w:rPr>
        <w:t>]</w:t>
      </w:r>
      <w:r w:rsidR="001A228C">
        <w:rPr>
          <w:rFonts w:ascii="Bookman Old Style" w:hAnsi="Bookman Old Style"/>
          <w:spacing w:val="4"/>
          <w:sz w:val="22"/>
          <w:szCs w:val="22"/>
        </w:rPr>
        <w:t xml:space="preserve"> del valore dei carichi interessati;</w:t>
      </w:r>
    </w:p>
    <w:p w14:paraId="62AD34B4" w14:textId="6CD9E4D1" w:rsidR="00705CA5" w:rsidRDefault="00AD46EF"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t xml:space="preserve">l’adesione del Comune alla rottamazione </w:t>
      </w:r>
      <w:r w:rsidRPr="00E1105D">
        <w:rPr>
          <w:rFonts w:ascii="Bookman Old Style" w:hAnsi="Bookman Old Style"/>
          <w:i/>
          <w:iCs/>
          <w:spacing w:val="4"/>
          <w:sz w:val="22"/>
          <w:szCs w:val="22"/>
        </w:rPr>
        <w:t>quinquies</w:t>
      </w:r>
      <w:r w:rsidRPr="00E1105D">
        <w:rPr>
          <w:rFonts w:ascii="Bookman Old Style" w:hAnsi="Bookman Old Style"/>
          <w:spacing w:val="4"/>
          <w:sz w:val="22"/>
          <w:szCs w:val="22"/>
        </w:rPr>
        <w:t xml:space="preserve"> ha </w:t>
      </w:r>
      <w:r w:rsidR="00971B63" w:rsidRPr="00E1105D">
        <w:rPr>
          <w:rFonts w:ascii="Bookman Old Style" w:hAnsi="Bookman Old Style"/>
          <w:spacing w:val="4"/>
          <w:sz w:val="22"/>
          <w:szCs w:val="22"/>
        </w:rPr>
        <w:t xml:space="preserve">pertanto effetti finanziari sostenibili </w:t>
      </w:r>
      <w:r w:rsidRPr="00E1105D">
        <w:rPr>
          <w:rFonts w:ascii="Bookman Old Style" w:hAnsi="Bookman Old Style"/>
          <w:spacing w:val="4"/>
          <w:sz w:val="22"/>
          <w:szCs w:val="22"/>
        </w:rPr>
        <w:t>…….</w:t>
      </w:r>
      <w:r w:rsidR="00104D00" w:rsidRPr="00E1105D">
        <w:rPr>
          <w:rFonts w:ascii="Bookman Old Style" w:hAnsi="Bookman Old Style"/>
          <w:spacing w:val="4"/>
          <w:sz w:val="22"/>
          <w:szCs w:val="22"/>
        </w:rPr>
        <w:t>,</w:t>
      </w:r>
      <w:r w:rsidRPr="00E1105D">
        <w:rPr>
          <w:rFonts w:ascii="Bookman Old Style" w:hAnsi="Bookman Old Style"/>
          <w:spacing w:val="4"/>
          <w:sz w:val="22"/>
          <w:szCs w:val="22"/>
        </w:rPr>
        <w:t xml:space="preserve"> </w:t>
      </w:r>
      <w:r w:rsidR="000647EC" w:rsidRPr="00E1105D">
        <w:rPr>
          <w:rFonts w:ascii="Bookman Old Style" w:hAnsi="Bookman Old Style"/>
          <w:spacing w:val="4"/>
          <w:sz w:val="22"/>
          <w:szCs w:val="22"/>
        </w:rPr>
        <w:t>in considerazione de</w:t>
      </w:r>
      <w:r w:rsidRPr="00E1105D">
        <w:rPr>
          <w:rFonts w:ascii="Bookman Old Style" w:hAnsi="Bookman Old Style"/>
          <w:spacing w:val="4"/>
          <w:sz w:val="22"/>
          <w:szCs w:val="22"/>
        </w:rPr>
        <w:t>i carichi già stralciati dal bilancio</w:t>
      </w:r>
      <w:r w:rsidR="00B45A53" w:rsidRPr="00E1105D">
        <w:rPr>
          <w:rFonts w:ascii="Bookman Old Style" w:hAnsi="Bookman Old Style"/>
          <w:spacing w:val="4"/>
          <w:sz w:val="22"/>
          <w:szCs w:val="22"/>
        </w:rPr>
        <w:t xml:space="preserve">, </w:t>
      </w:r>
      <w:r w:rsidR="00395FC0" w:rsidRPr="00E1105D">
        <w:rPr>
          <w:rFonts w:ascii="Bookman Old Style" w:hAnsi="Bookman Old Style"/>
          <w:spacing w:val="4"/>
          <w:sz w:val="22"/>
          <w:szCs w:val="22"/>
        </w:rPr>
        <w:t xml:space="preserve">la cui parziale riscossione darebbe luogo alla registrazione di </w:t>
      </w:r>
      <w:r w:rsidRPr="00E1105D">
        <w:rPr>
          <w:rFonts w:ascii="Bookman Old Style" w:hAnsi="Bookman Old Style"/>
          <w:spacing w:val="4"/>
          <w:sz w:val="22"/>
          <w:szCs w:val="22"/>
        </w:rPr>
        <w:t xml:space="preserve">maggiori entrate, mentre per i carichi iscritti a bilancio e non interamente svalutati vi sarebbe una riduzione dei residui </w:t>
      </w:r>
      <w:r w:rsidR="006A3D9F">
        <w:rPr>
          <w:rFonts w:ascii="Bookman Old Style" w:hAnsi="Bookman Old Style"/>
          <w:spacing w:val="4"/>
          <w:sz w:val="22"/>
          <w:szCs w:val="22"/>
        </w:rPr>
        <w:t xml:space="preserve">attivi </w:t>
      </w:r>
      <w:r w:rsidR="00971B63" w:rsidRPr="00E1105D">
        <w:rPr>
          <w:rFonts w:ascii="Bookman Old Style" w:hAnsi="Bookman Old Style"/>
          <w:spacing w:val="4"/>
          <w:sz w:val="22"/>
          <w:szCs w:val="22"/>
        </w:rPr>
        <w:t xml:space="preserve">prevedibilmente </w:t>
      </w:r>
      <w:r w:rsidRPr="00E1105D">
        <w:rPr>
          <w:rFonts w:ascii="Bookman Old Style" w:hAnsi="Bookman Old Style"/>
          <w:spacing w:val="4"/>
          <w:sz w:val="22"/>
          <w:szCs w:val="22"/>
        </w:rPr>
        <w:t>pari a euro</w:t>
      </w:r>
      <w:r w:rsidR="00104D00" w:rsidRPr="00E1105D">
        <w:rPr>
          <w:rFonts w:ascii="Bookman Old Style" w:hAnsi="Bookman Old Style"/>
          <w:spacing w:val="4"/>
          <w:sz w:val="22"/>
          <w:szCs w:val="22"/>
        </w:rPr>
        <w:t xml:space="preserve"> </w:t>
      </w:r>
      <w:r w:rsidRPr="00E1105D">
        <w:rPr>
          <w:rFonts w:ascii="Bookman Old Style" w:hAnsi="Bookman Old Style"/>
          <w:spacing w:val="4"/>
          <w:sz w:val="22"/>
          <w:szCs w:val="22"/>
        </w:rPr>
        <w:t>………</w:t>
      </w:r>
      <w:r w:rsidR="006A6E63" w:rsidRPr="00E1105D">
        <w:rPr>
          <w:rFonts w:ascii="Bookman Old Style" w:hAnsi="Bookman Old Style"/>
          <w:spacing w:val="4"/>
          <w:sz w:val="22"/>
          <w:szCs w:val="22"/>
        </w:rPr>
        <w:t>,</w:t>
      </w:r>
      <w:r w:rsidR="00A16DF7" w:rsidRPr="00E1105D">
        <w:rPr>
          <w:rFonts w:ascii="Bookman Old Style" w:hAnsi="Bookman Old Style"/>
          <w:spacing w:val="4"/>
          <w:sz w:val="22"/>
          <w:szCs w:val="22"/>
        </w:rPr>
        <w:t xml:space="preserve"> compatibile con il mantenimento degli equilibri finanziari</w:t>
      </w:r>
      <w:r w:rsidR="00FF256D">
        <w:rPr>
          <w:rFonts w:ascii="Bookman Old Style" w:hAnsi="Bookman Old Style"/>
          <w:spacing w:val="4"/>
          <w:sz w:val="22"/>
          <w:szCs w:val="22"/>
        </w:rPr>
        <w:t xml:space="preserve"> anche </w:t>
      </w:r>
      <w:r w:rsidR="00685F0F">
        <w:rPr>
          <w:rFonts w:ascii="Bookman Old Style" w:hAnsi="Bookman Old Style"/>
          <w:spacing w:val="4"/>
          <w:sz w:val="22"/>
          <w:szCs w:val="22"/>
        </w:rPr>
        <w:t xml:space="preserve">a fronte del </w:t>
      </w:r>
      <w:r w:rsidR="004F0FB8">
        <w:rPr>
          <w:rFonts w:ascii="Bookman Old Style" w:hAnsi="Bookman Old Style"/>
          <w:spacing w:val="4"/>
          <w:sz w:val="22"/>
          <w:szCs w:val="22"/>
        </w:rPr>
        <w:t>consolidamento di un appr</w:t>
      </w:r>
      <w:r w:rsidR="009A4483">
        <w:rPr>
          <w:rFonts w:ascii="Bookman Old Style" w:hAnsi="Bookman Old Style"/>
          <w:spacing w:val="4"/>
          <w:sz w:val="22"/>
          <w:szCs w:val="22"/>
        </w:rPr>
        <w:t>opr</w:t>
      </w:r>
      <w:r w:rsidR="004F0FB8">
        <w:rPr>
          <w:rFonts w:ascii="Bookman Old Style" w:hAnsi="Bookman Old Style"/>
          <w:spacing w:val="4"/>
          <w:sz w:val="22"/>
          <w:szCs w:val="22"/>
        </w:rPr>
        <w:t xml:space="preserve">iato ammontare di </w:t>
      </w:r>
      <w:r w:rsidR="00685F0F">
        <w:rPr>
          <w:rFonts w:ascii="Bookman Old Style" w:hAnsi="Bookman Old Style"/>
          <w:spacing w:val="4"/>
          <w:sz w:val="22"/>
          <w:szCs w:val="22"/>
        </w:rPr>
        <w:t>accantonament</w:t>
      </w:r>
      <w:r w:rsidR="004F0FB8">
        <w:rPr>
          <w:rFonts w:ascii="Bookman Old Style" w:hAnsi="Bookman Old Style"/>
          <w:spacing w:val="4"/>
          <w:sz w:val="22"/>
          <w:szCs w:val="22"/>
        </w:rPr>
        <w:t>i</w:t>
      </w:r>
      <w:r w:rsidR="006A6E63" w:rsidRPr="00E1105D">
        <w:rPr>
          <w:rFonts w:ascii="Bookman Old Style" w:hAnsi="Bookman Old Style"/>
          <w:spacing w:val="4"/>
          <w:sz w:val="22"/>
          <w:szCs w:val="22"/>
        </w:rPr>
        <w:t>;</w:t>
      </w:r>
      <w:r w:rsidR="00E1105D" w:rsidRPr="00E1105D">
        <w:rPr>
          <w:rFonts w:ascii="Bookman Old Style" w:hAnsi="Bookman Old Style"/>
          <w:spacing w:val="4"/>
          <w:sz w:val="22"/>
          <w:szCs w:val="22"/>
        </w:rPr>
        <w:t xml:space="preserve"> </w:t>
      </w:r>
    </w:p>
    <w:p w14:paraId="1F95959E" w14:textId="7432F9FC" w:rsidR="008B6CA6" w:rsidRPr="00E1105D" w:rsidRDefault="00E1105D"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br/>
      </w:r>
      <w:r w:rsidR="008B6CA6" w:rsidRPr="00E1105D">
        <w:rPr>
          <w:rFonts w:ascii="Bookman Old Style" w:hAnsi="Bookman Old Style"/>
          <w:spacing w:val="4"/>
          <w:sz w:val="22"/>
          <w:szCs w:val="22"/>
        </w:rPr>
        <w:t>, che producono maggiori riaccertamenti a bassa svalutazione, e di quelli oggetto di svalutazione prudenziale nel risultato di amministrazione</w:t>
      </w:r>
    </w:p>
    <w:p w14:paraId="04DB281F" w14:textId="17A6C3AB" w:rsidR="00FA151C" w:rsidRPr="00104D00" w:rsidRDefault="00104D00" w:rsidP="00104D00">
      <w:pPr>
        <w:pStyle w:val="testo"/>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lastRenderedPageBreak/>
        <w:t>[</w:t>
      </w:r>
      <w:r w:rsidR="00AD46EF" w:rsidRPr="00104D00">
        <w:rPr>
          <w:rFonts w:ascii="Bookman Old Style" w:hAnsi="Bookman Old Style"/>
          <w:b/>
          <w:bCs/>
          <w:i/>
          <w:iCs/>
          <w:color w:val="C00000"/>
          <w:spacing w:val="4"/>
          <w:sz w:val="22"/>
          <w:szCs w:val="22"/>
        </w:rPr>
        <w:t>il calcolo può essere effettuato in termini percentuali considerando la % dei carichi stralciati dal bilancio sulla totalità dei carichi, e così anche per quelli completamente o parzialmente svalutati</w:t>
      </w:r>
      <w:r>
        <w:rPr>
          <w:rFonts w:ascii="Bookman Old Style" w:hAnsi="Bookman Old Style"/>
          <w:spacing w:val="4"/>
          <w:sz w:val="22"/>
          <w:szCs w:val="22"/>
        </w:rPr>
        <w:t>]</w:t>
      </w:r>
      <w:r w:rsidRPr="00104D00">
        <w:rPr>
          <w:rFonts w:ascii="Bookman Old Style" w:hAnsi="Bookman Old Style"/>
          <w:spacing w:val="4"/>
          <w:sz w:val="22"/>
          <w:szCs w:val="22"/>
        </w:rPr>
        <w:t>;</w:t>
      </w:r>
    </w:p>
    <w:p w14:paraId="759CA14C" w14:textId="77777777" w:rsidR="00AD46EF" w:rsidRPr="00FA151C" w:rsidRDefault="00F1467E" w:rsidP="00AD46EF">
      <w:pPr>
        <w:pStyle w:val="testo"/>
        <w:spacing w:before="160" w:after="40" w:line="276" w:lineRule="auto"/>
        <w:ind w:left="426" w:firstLine="0"/>
        <w:rPr>
          <w:rFonts w:ascii="Bookman Old Style" w:hAnsi="Bookman Old Style"/>
          <w:spacing w:val="4"/>
          <w:sz w:val="22"/>
          <w:szCs w:val="22"/>
        </w:rPr>
      </w:pPr>
      <w:r w:rsidRPr="00AD46EF">
        <w:rPr>
          <w:rFonts w:ascii="Bookman Old Style" w:hAnsi="Bookman Old Style"/>
          <w:b/>
          <w:spacing w:val="4"/>
          <w:sz w:val="22"/>
          <w:szCs w:val="22"/>
        </w:rPr>
        <w:t xml:space="preserve">RITENUTO PERTANTO </w:t>
      </w:r>
      <w:r w:rsidRPr="00AD46EF">
        <w:rPr>
          <w:rFonts w:ascii="Bookman Old Style" w:hAnsi="Bookman Old Style"/>
          <w:spacing w:val="4"/>
          <w:sz w:val="22"/>
          <w:szCs w:val="22"/>
        </w:rPr>
        <w:t>di deliberare, ai sensi dell’articolo 1</w:t>
      </w:r>
      <w:r w:rsidR="00AD46EF">
        <w:rPr>
          <w:rFonts w:ascii="Bookman Old Style" w:hAnsi="Bookman Old Style"/>
          <w:spacing w:val="4"/>
          <w:sz w:val="22"/>
          <w:szCs w:val="22"/>
        </w:rPr>
        <w:t>0-</w:t>
      </w:r>
      <w:r w:rsidR="00AD46EF" w:rsidRPr="00FA151C">
        <w:rPr>
          <w:rFonts w:ascii="Bookman Old Style" w:hAnsi="Bookman Old Style"/>
          <w:i/>
          <w:iCs/>
          <w:spacing w:val="4"/>
          <w:sz w:val="22"/>
          <w:szCs w:val="22"/>
        </w:rPr>
        <w:t>quinquies</w:t>
      </w:r>
      <w:r w:rsidR="00AD46EF">
        <w:rPr>
          <w:rFonts w:ascii="Bookman Old Style" w:hAnsi="Bookman Old Style"/>
          <w:spacing w:val="4"/>
          <w:sz w:val="22"/>
          <w:szCs w:val="22"/>
        </w:rPr>
        <w:t xml:space="preserve">, </w:t>
      </w:r>
      <w:r w:rsidR="00AD46EF" w:rsidRPr="00A532E2">
        <w:rPr>
          <w:rFonts w:ascii="Bookman Old Style" w:hAnsi="Bookman Old Style"/>
          <w:spacing w:val="4"/>
          <w:sz w:val="22"/>
          <w:szCs w:val="22"/>
        </w:rPr>
        <w:t>decreto-legge 27 marzo 2026, n. 38</w:t>
      </w:r>
      <w:r w:rsidR="00AD46EF">
        <w:rPr>
          <w:rFonts w:ascii="Bookman Old Style" w:hAnsi="Bookman Old Style"/>
          <w:spacing w:val="4"/>
          <w:sz w:val="22"/>
          <w:szCs w:val="22"/>
        </w:rPr>
        <w:t>, l’adesione alla definizione agevolata di cui all’articolo 1, commi da 82 a 101, legge</w:t>
      </w:r>
      <w:r w:rsidR="00AD46EF" w:rsidRPr="0071706B">
        <w:rPr>
          <w:rFonts w:ascii="Bookman Old Style" w:hAnsi="Bookman Old Style"/>
          <w:spacing w:val="4"/>
          <w:sz w:val="22"/>
          <w:szCs w:val="22"/>
        </w:rPr>
        <w:t xml:space="preserve"> 30 dicembre 2025, n. 199</w:t>
      </w:r>
      <w:r w:rsidR="00AD46EF">
        <w:rPr>
          <w:rFonts w:ascii="Bookman Old Style" w:hAnsi="Bookman Old Style"/>
          <w:spacing w:val="4"/>
          <w:sz w:val="22"/>
          <w:szCs w:val="22"/>
        </w:rPr>
        <w:t>, così come integrata dal citato articolo 10-</w:t>
      </w:r>
      <w:r w:rsidR="00AD46EF" w:rsidRPr="00AD46EF">
        <w:rPr>
          <w:rFonts w:ascii="Bookman Old Style" w:hAnsi="Bookman Old Style"/>
          <w:i/>
          <w:iCs/>
          <w:spacing w:val="4"/>
          <w:sz w:val="22"/>
          <w:szCs w:val="22"/>
        </w:rPr>
        <w:t>quinquies</w:t>
      </w:r>
      <w:r w:rsidR="00FA151C">
        <w:rPr>
          <w:rFonts w:ascii="Bookman Old Style" w:hAnsi="Bookman Old Style"/>
          <w:spacing w:val="4"/>
          <w:sz w:val="22"/>
          <w:szCs w:val="22"/>
        </w:rPr>
        <w:t>.</w:t>
      </w:r>
    </w:p>
    <w:p w14:paraId="14E4E2C3" w14:textId="77777777" w:rsidR="00AD46EF" w:rsidRDefault="00A10FCC"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l'art</w:t>
      </w:r>
      <w:r>
        <w:rPr>
          <w:rFonts w:ascii="Bookman Old Style" w:hAnsi="Bookman Old Style"/>
          <w:spacing w:val="4"/>
          <w:sz w:val="22"/>
          <w:szCs w:val="22"/>
        </w:rPr>
        <w:t xml:space="preserve">icolo </w:t>
      </w:r>
      <w:r w:rsidRPr="00A10FCC">
        <w:rPr>
          <w:rFonts w:ascii="Bookman Old Style" w:hAnsi="Bookman Old Style"/>
          <w:spacing w:val="4"/>
          <w:sz w:val="22"/>
          <w:szCs w:val="22"/>
        </w:rPr>
        <w:t xml:space="preserve">52 del </w:t>
      </w:r>
      <w:r>
        <w:rPr>
          <w:rFonts w:ascii="Bookman Old Style" w:hAnsi="Bookman Old Style"/>
          <w:spacing w:val="4"/>
          <w:sz w:val="22"/>
          <w:szCs w:val="22"/>
        </w:rPr>
        <w:t xml:space="preserve">decreto legislativo 15 dicembre 1997, n. </w:t>
      </w:r>
      <w:r w:rsidRPr="00A10FCC">
        <w:rPr>
          <w:rFonts w:ascii="Bookman Old Style" w:hAnsi="Bookman Old Style"/>
          <w:spacing w:val="4"/>
          <w:sz w:val="22"/>
          <w:szCs w:val="22"/>
        </w:rPr>
        <w:t xml:space="preserve">446 che disciplina la potestà regolamentare </w:t>
      </w:r>
      <w:r w:rsidR="00BE1773">
        <w:rPr>
          <w:rFonts w:ascii="Bookman Old Style" w:hAnsi="Bookman Old Style"/>
          <w:spacing w:val="4"/>
          <w:sz w:val="22"/>
          <w:szCs w:val="22"/>
        </w:rPr>
        <w:t>del Comune in tema di entrate, anche tributarie</w:t>
      </w:r>
      <w:r w:rsidRPr="00A10FCC">
        <w:rPr>
          <w:rFonts w:ascii="Bookman Old Style" w:hAnsi="Bookman Old Style"/>
          <w:spacing w:val="4"/>
          <w:sz w:val="22"/>
          <w:szCs w:val="22"/>
        </w:rPr>
        <w:t>.</w:t>
      </w:r>
    </w:p>
    <w:p w14:paraId="2BDC19F3"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ACQUISITO</w:t>
      </w:r>
      <w:r w:rsidRPr="00A10FCC">
        <w:rPr>
          <w:rFonts w:ascii="Bookman Old Style" w:hAnsi="Bookman Old Style"/>
          <w:spacing w:val="4"/>
          <w:sz w:val="22"/>
          <w:szCs w:val="22"/>
        </w:rPr>
        <w:t xml:space="preserve"> il parere favorevole dell'Organo di revisione, n. 00 del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allegato al presente atto quale parte integrante e sostanziale (</w:t>
      </w:r>
      <w:r w:rsidRPr="00A10FCC">
        <w:rPr>
          <w:rFonts w:ascii="Bookman Old Style" w:hAnsi="Bookman Old Style"/>
          <w:b/>
          <w:spacing w:val="4"/>
          <w:sz w:val="22"/>
          <w:szCs w:val="22"/>
        </w:rPr>
        <w:t>All. 1</w:t>
      </w:r>
      <w:r w:rsidRPr="00A10FCC">
        <w:rPr>
          <w:rFonts w:ascii="Bookman Old Style" w:hAnsi="Bookman Old Style"/>
          <w:spacing w:val="4"/>
          <w:sz w:val="22"/>
          <w:szCs w:val="22"/>
        </w:rPr>
        <w:t>), reso ai sensi dell'art. 239, comma 1, lett. b), punto 7), decreto legislativo 18 agosto 2000, n. 267.</w:t>
      </w:r>
      <w:r w:rsidR="00A10FCC">
        <w:rPr>
          <w:rFonts w:ascii="Bookman Old Style" w:hAnsi="Bookman Old Style"/>
          <w:spacing w:val="4"/>
          <w:sz w:val="22"/>
          <w:szCs w:val="22"/>
        </w:rPr>
        <w:t xml:space="preserve"> </w:t>
      </w:r>
    </w:p>
    <w:p w14:paraId="35DC4137"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 xml:space="preserve">VISTO </w:t>
      </w:r>
      <w:r w:rsidRPr="00A10FCC">
        <w:rPr>
          <w:rFonts w:ascii="Bookman Old Style" w:hAnsi="Bookman Old Style"/>
          <w:spacing w:val="4"/>
          <w:sz w:val="22"/>
          <w:szCs w:val="22"/>
        </w:rPr>
        <w:t>che la presente proposta di deliberazione</w:t>
      </w:r>
      <w:r w:rsidR="000104C9" w:rsidRPr="00A10FCC">
        <w:rPr>
          <w:rFonts w:ascii="Bookman Old Style" w:hAnsi="Bookman Old Style"/>
          <w:spacing w:val="4"/>
          <w:sz w:val="22"/>
          <w:szCs w:val="22"/>
        </w:rPr>
        <w:t xml:space="preserve"> è stata esaminata in data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xml:space="preserve"> dalla Commissione Consiliare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come da verbale trattenuto, agli atti d'ufficio.</w:t>
      </w:r>
    </w:p>
    <w:p w14:paraId="5DBEAED3"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INDIVIDUATO</w:t>
      </w:r>
      <w:r w:rsidRPr="00A10FCC">
        <w:rPr>
          <w:rFonts w:ascii="Bookman Old Style" w:hAnsi="Bookman Old Style"/>
          <w:spacing w:val="4"/>
          <w:sz w:val="22"/>
          <w:szCs w:val="22"/>
        </w:rPr>
        <w:t xml:space="preserve"> il responsabile del procedimento nella persona del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il quale dichiara, ai sensi della legge 7 agosto 1990, n. 241, della legge 6 novembre 2012, n. 190 e del vigente "Piano triennale di prevenzione della corruzione", che ai fini dell’adozione del presente atto non sussistono conflitti di interesse, anche potenziali, cui consegue l’obbligo di astensione.</w:t>
      </w:r>
    </w:p>
    <w:p w14:paraId="7745B84E" w14:textId="77777777" w:rsidR="00FD4147"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l'allegato parere di regolarità contabile espressa dal Responsabile del Servizio </w:t>
      </w:r>
      <w:r w:rsidR="000104C9" w:rsidRPr="00A10FCC">
        <w:rPr>
          <w:rFonts w:ascii="Bookman Old Style" w:hAnsi="Bookman Old Style"/>
          <w:spacing w:val="4"/>
          <w:sz w:val="22"/>
          <w:szCs w:val="22"/>
        </w:rPr>
        <w:t>Finanziario ……………</w:t>
      </w:r>
      <w:r w:rsidRPr="00A10FCC">
        <w:rPr>
          <w:rFonts w:ascii="Bookman Old Style" w:hAnsi="Bookman Old Style"/>
          <w:spacing w:val="4"/>
          <w:sz w:val="22"/>
          <w:szCs w:val="22"/>
        </w:rPr>
        <w:t>, ai sensi dell’art. 49, comma 1, del D.lgs. n. 267 del 2000.</w:t>
      </w:r>
    </w:p>
    <w:p w14:paraId="48BC7881" w14:textId="77777777" w:rsidR="00FA151C" w:rsidRPr="00FA151C" w:rsidRDefault="00FA151C" w:rsidP="00AD46EF">
      <w:pPr>
        <w:pStyle w:val="testo"/>
        <w:spacing w:before="160" w:after="40" w:line="276" w:lineRule="auto"/>
        <w:ind w:left="426" w:firstLine="0"/>
        <w:rPr>
          <w:rFonts w:ascii="Bookman Old Style" w:hAnsi="Bookman Old Style"/>
          <w:bCs/>
          <w:spacing w:val="4"/>
          <w:sz w:val="22"/>
          <w:szCs w:val="22"/>
        </w:rPr>
      </w:pPr>
      <w:r>
        <w:rPr>
          <w:rFonts w:ascii="Bookman Old Style" w:hAnsi="Bookman Old Style"/>
          <w:b/>
          <w:spacing w:val="4"/>
          <w:sz w:val="22"/>
          <w:szCs w:val="22"/>
        </w:rPr>
        <w:t xml:space="preserve">VISTO </w:t>
      </w:r>
      <w:r>
        <w:rPr>
          <w:rFonts w:ascii="Bookman Old Style" w:hAnsi="Bookman Old Style"/>
          <w:bCs/>
          <w:spacing w:val="4"/>
          <w:sz w:val="22"/>
          <w:szCs w:val="22"/>
        </w:rPr>
        <w:t>Statuto, DUP, Bilancio……</w:t>
      </w:r>
    </w:p>
    <w:p w14:paraId="0167C38F" w14:textId="77777777" w:rsidR="00FD4147" w:rsidRPr="00A10FCC" w:rsidRDefault="00FD4147" w:rsidP="00FD4147">
      <w:pPr>
        <w:pStyle w:val="testo"/>
        <w:spacing w:after="40" w:line="276" w:lineRule="auto"/>
        <w:rPr>
          <w:rFonts w:ascii="Bookman Old Style" w:hAnsi="Bookman Old Style"/>
          <w:spacing w:val="4"/>
          <w:sz w:val="22"/>
          <w:szCs w:val="22"/>
        </w:rPr>
      </w:pPr>
    </w:p>
    <w:p w14:paraId="04C5FE80" w14:textId="77777777" w:rsidR="00FD4147" w:rsidRPr="00A10FCC" w:rsidRDefault="00FD4147" w:rsidP="000104C9">
      <w:pPr>
        <w:pStyle w:val="testo"/>
        <w:spacing w:after="40" w:line="276" w:lineRule="auto"/>
        <w:jc w:val="center"/>
        <w:rPr>
          <w:rFonts w:ascii="Bookman Old Style" w:hAnsi="Bookman Old Style"/>
          <w:b/>
          <w:spacing w:val="4"/>
          <w:sz w:val="22"/>
          <w:szCs w:val="22"/>
        </w:rPr>
      </w:pPr>
      <w:r w:rsidRPr="00A10FCC">
        <w:rPr>
          <w:rFonts w:ascii="Bookman Old Style" w:hAnsi="Bookman Old Style"/>
          <w:b/>
          <w:spacing w:val="4"/>
          <w:sz w:val="22"/>
          <w:szCs w:val="22"/>
        </w:rPr>
        <w:t>D E L I B E R A</w:t>
      </w:r>
    </w:p>
    <w:p w14:paraId="3AC114CC" w14:textId="77777777" w:rsidR="00FD4147" w:rsidRPr="00A10FCC" w:rsidRDefault="00FD4147" w:rsidP="00FD4147">
      <w:pPr>
        <w:pStyle w:val="testo"/>
        <w:spacing w:after="40" w:line="276" w:lineRule="auto"/>
        <w:rPr>
          <w:rFonts w:ascii="Bookman Old Style" w:hAnsi="Bookman Old Style"/>
          <w:spacing w:val="4"/>
          <w:sz w:val="22"/>
          <w:szCs w:val="22"/>
        </w:rPr>
      </w:pPr>
    </w:p>
    <w:p w14:paraId="1C47A019" w14:textId="77777777" w:rsidR="001B5E2C" w:rsidRPr="001B5E2C" w:rsidRDefault="001B5E2C" w:rsidP="001B5E2C">
      <w:pPr>
        <w:pStyle w:val="testo"/>
        <w:numPr>
          <w:ilvl w:val="0"/>
          <w:numId w:val="11"/>
        </w:numPr>
        <w:spacing w:after="40" w:line="276" w:lineRule="auto"/>
        <w:ind w:left="709" w:hanging="567"/>
        <w:rPr>
          <w:rFonts w:ascii="Bookman Old Style" w:hAnsi="Bookman Old Style"/>
          <w:spacing w:val="4"/>
          <w:sz w:val="22"/>
          <w:szCs w:val="22"/>
        </w:rPr>
      </w:pPr>
      <w:r>
        <w:rPr>
          <w:rFonts w:ascii="Bookman Old Style" w:hAnsi="Bookman Old Style"/>
          <w:spacing w:val="4"/>
          <w:sz w:val="22"/>
          <w:szCs w:val="22"/>
        </w:rPr>
        <w:t xml:space="preserve">di approvare, </w:t>
      </w:r>
      <w:r w:rsidRPr="00AD46EF">
        <w:rPr>
          <w:rFonts w:ascii="Bookman Old Style" w:hAnsi="Bookman Old Style"/>
          <w:spacing w:val="4"/>
          <w:sz w:val="22"/>
          <w:szCs w:val="22"/>
        </w:rPr>
        <w:t>ai sensi dell’articolo 1</w:t>
      </w:r>
      <w:r>
        <w:rPr>
          <w:rFonts w:ascii="Bookman Old Style" w:hAnsi="Bookman Old Style"/>
          <w:spacing w:val="4"/>
          <w:sz w:val="22"/>
          <w:szCs w:val="22"/>
        </w:rPr>
        <w:t>0-</w:t>
      </w:r>
      <w:r w:rsidRPr="001B5E2C">
        <w:rPr>
          <w:rFonts w:ascii="Bookman Old Style" w:hAnsi="Bookman Old Style"/>
          <w:i/>
          <w:iCs/>
          <w:spacing w:val="4"/>
          <w:sz w:val="22"/>
          <w:szCs w:val="22"/>
        </w:rPr>
        <w:t>quinquies</w:t>
      </w:r>
      <w:r>
        <w:rPr>
          <w:rFonts w:ascii="Bookman Old Style" w:hAnsi="Bookman Old Style"/>
          <w:spacing w:val="4"/>
          <w:sz w:val="22"/>
          <w:szCs w:val="22"/>
        </w:rPr>
        <w:t xml:space="preserve">, </w:t>
      </w:r>
      <w:r w:rsidRPr="00A532E2">
        <w:rPr>
          <w:rFonts w:ascii="Bookman Old Style" w:hAnsi="Bookman Old Style"/>
          <w:spacing w:val="4"/>
          <w:sz w:val="22"/>
          <w:szCs w:val="22"/>
        </w:rPr>
        <w:t>decreto-legge 27 marzo 2026, n. 38</w:t>
      </w:r>
      <w:r>
        <w:rPr>
          <w:rFonts w:ascii="Bookman Old Style" w:hAnsi="Bookman Old Style"/>
          <w:spacing w:val="4"/>
          <w:sz w:val="22"/>
          <w:szCs w:val="22"/>
        </w:rPr>
        <w:t>, l’adesione alla definizione agevolata di cui all’articolo 1, commi da 82 a 101, legge</w:t>
      </w:r>
      <w:r w:rsidRPr="0071706B">
        <w:rPr>
          <w:rFonts w:ascii="Bookman Old Style" w:hAnsi="Bookman Old Style"/>
          <w:spacing w:val="4"/>
          <w:sz w:val="22"/>
          <w:szCs w:val="22"/>
        </w:rPr>
        <w:t xml:space="preserve"> 30 dicembre 2025, n. 199</w:t>
      </w:r>
      <w:r>
        <w:rPr>
          <w:rFonts w:ascii="Bookman Old Style" w:hAnsi="Bookman Old Style"/>
          <w:spacing w:val="4"/>
          <w:sz w:val="22"/>
          <w:szCs w:val="22"/>
        </w:rPr>
        <w:t>, così come integrata dal citato articolo 10-</w:t>
      </w:r>
      <w:r w:rsidRPr="001B5E2C">
        <w:rPr>
          <w:rFonts w:ascii="Bookman Old Style" w:hAnsi="Bookman Old Style"/>
          <w:i/>
          <w:iCs/>
          <w:spacing w:val="4"/>
          <w:sz w:val="22"/>
          <w:szCs w:val="22"/>
        </w:rPr>
        <w:t>quinquies</w:t>
      </w:r>
      <w:r w:rsidRPr="001B5E2C">
        <w:rPr>
          <w:rFonts w:ascii="Bookman Old Style" w:hAnsi="Bookman Old Style"/>
          <w:spacing w:val="4"/>
          <w:sz w:val="22"/>
          <w:szCs w:val="22"/>
        </w:rPr>
        <w:t xml:space="preserve">. </w:t>
      </w:r>
    </w:p>
    <w:p w14:paraId="02D5AC56" w14:textId="77777777" w:rsidR="00FF3F27" w:rsidRPr="0006655E"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t>di inviare copia del presente atto all’agente della riscossione</w:t>
      </w:r>
      <w:r w:rsidR="002E4633" w:rsidRPr="0006655E">
        <w:rPr>
          <w:rFonts w:ascii="Bookman Old Style" w:hAnsi="Bookman Old Style"/>
          <w:spacing w:val="4"/>
          <w:sz w:val="22"/>
          <w:szCs w:val="22"/>
        </w:rPr>
        <w:t xml:space="preserve"> entro il 3</w:t>
      </w:r>
      <w:r w:rsidR="001B5E2C">
        <w:rPr>
          <w:rFonts w:ascii="Bookman Old Style" w:hAnsi="Bookman Old Style"/>
          <w:spacing w:val="4"/>
          <w:sz w:val="22"/>
          <w:szCs w:val="22"/>
        </w:rPr>
        <w:t>0 giugno 2026</w:t>
      </w:r>
      <w:r w:rsidRPr="0006655E">
        <w:rPr>
          <w:rFonts w:ascii="Bookman Old Style" w:hAnsi="Bookman Old Style"/>
          <w:spacing w:val="4"/>
          <w:sz w:val="22"/>
          <w:szCs w:val="22"/>
        </w:rPr>
        <w:t>;</w:t>
      </w:r>
    </w:p>
    <w:p w14:paraId="5A411D22" w14:textId="77777777" w:rsidR="001B5E2C"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 xml:space="preserve">di dare </w:t>
      </w:r>
      <w:r w:rsidR="001B5E2C">
        <w:rPr>
          <w:rFonts w:ascii="Bookman Old Style" w:hAnsi="Bookman Old Style"/>
          <w:spacing w:val="4"/>
          <w:sz w:val="22"/>
          <w:szCs w:val="22"/>
        </w:rPr>
        <w:t xml:space="preserve">atto che la presente deliberazione acquista </w:t>
      </w:r>
      <w:r w:rsidR="001B5E2C" w:rsidRPr="00460278">
        <w:rPr>
          <w:rFonts w:ascii="Bookman Old Style" w:hAnsi="Bookman Old Style"/>
          <w:spacing w:val="4"/>
          <w:sz w:val="22"/>
          <w:szCs w:val="22"/>
        </w:rPr>
        <w:t xml:space="preserve">efficacia con la pubblicazione sul sito </w:t>
      </w:r>
      <w:r w:rsidR="001B5E2C" w:rsidRPr="00460278">
        <w:rPr>
          <w:rFonts w:ascii="Bookman Old Style" w:hAnsi="Bookman Old Style"/>
          <w:i/>
          <w:iCs/>
          <w:spacing w:val="4"/>
          <w:sz w:val="22"/>
          <w:szCs w:val="22"/>
        </w:rPr>
        <w:t>internet</w:t>
      </w:r>
      <w:r w:rsidR="001B5E2C" w:rsidRPr="00460278">
        <w:rPr>
          <w:rFonts w:ascii="Bookman Old Style" w:hAnsi="Bookman Old Style"/>
          <w:spacing w:val="4"/>
          <w:sz w:val="22"/>
          <w:szCs w:val="22"/>
        </w:rPr>
        <w:t xml:space="preserve"> istituzionale dell’ente</w:t>
      </w:r>
      <w:r w:rsidR="001B5E2C">
        <w:rPr>
          <w:rFonts w:ascii="Bookman Old Style" w:hAnsi="Bookman Old Style"/>
          <w:spacing w:val="4"/>
          <w:sz w:val="22"/>
          <w:szCs w:val="22"/>
        </w:rPr>
        <w:t xml:space="preserve"> che dovrà avvenire entro il 30 giugno 2026;</w:t>
      </w:r>
    </w:p>
    <w:p w14:paraId="0F077C8C" w14:textId="77777777" w:rsidR="001B5E2C" w:rsidRDefault="005967D6"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di inviare</w:t>
      </w:r>
      <w:r w:rsidR="001B5E2C">
        <w:rPr>
          <w:rFonts w:ascii="Bookman Old Style" w:hAnsi="Bookman Old Style"/>
          <w:spacing w:val="4"/>
          <w:sz w:val="22"/>
          <w:szCs w:val="22"/>
        </w:rPr>
        <w:t xml:space="preserve">, ai soli fini statistici, </w:t>
      </w:r>
      <w:r w:rsidRPr="00A10FCC">
        <w:rPr>
          <w:rFonts w:ascii="Bookman Old Style" w:hAnsi="Bookman Old Style"/>
          <w:spacing w:val="4"/>
          <w:sz w:val="22"/>
          <w:szCs w:val="22"/>
        </w:rPr>
        <w:t xml:space="preserve">la presente deliberazione </w:t>
      </w:r>
      <w:r w:rsidR="001B5E2C">
        <w:rPr>
          <w:rFonts w:ascii="Bookman Old Style" w:hAnsi="Bookman Old Style"/>
          <w:spacing w:val="4"/>
          <w:sz w:val="22"/>
          <w:szCs w:val="22"/>
        </w:rPr>
        <w:t xml:space="preserve">entro il 30 settembre 2026 </w:t>
      </w:r>
      <w:r w:rsidRPr="00A10FCC">
        <w:rPr>
          <w:rFonts w:ascii="Bookman Old Style" w:hAnsi="Bookman Old Style"/>
          <w:spacing w:val="4"/>
          <w:sz w:val="22"/>
          <w:szCs w:val="22"/>
        </w:rPr>
        <w:t>al Ministero dell’economia e delle finanze, Dipartimento delle finanze</w:t>
      </w:r>
      <w:r w:rsidR="001B5E2C">
        <w:rPr>
          <w:rFonts w:ascii="Bookman Old Style" w:hAnsi="Bookman Old Style"/>
          <w:spacing w:val="4"/>
          <w:sz w:val="22"/>
          <w:szCs w:val="22"/>
        </w:rPr>
        <w:t>;</w:t>
      </w:r>
    </w:p>
    <w:p w14:paraId="2D41AD26" w14:textId="77777777" w:rsidR="00FD4147" w:rsidRPr="0006655E" w:rsidRDefault="005B6F1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t xml:space="preserve">di dichiarare </w:t>
      </w:r>
      <w:r w:rsidR="00FD4147" w:rsidRPr="0006655E">
        <w:rPr>
          <w:rFonts w:ascii="Bookman Old Style" w:hAnsi="Bookman Old Style"/>
          <w:spacing w:val="4"/>
          <w:sz w:val="22"/>
          <w:szCs w:val="22"/>
        </w:rPr>
        <w:t>l’immediata esecutività della presente deliberazione</w:t>
      </w:r>
      <w:r w:rsidR="006A6E63">
        <w:rPr>
          <w:rFonts w:ascii="Bookman Old Style" w:hAnsi="Bookman Old Style"/>
          <w:spacing w:val="4"/>
          <w:sz w:val="22"/>
          <w:szCs w:val="22"/>
        </w:rPr>
        <w:t>,</w:t>
      </w:r>
      <w:r w:rsidR="00FD4147" w:rsidRPr="0006655E">
        <w:rPr>
          <w:rFonts w:ascii="Bookman Old Style" w:hAnsi="Bookman Old Style"/>
          <w:spacing w:val="4"/>
          <w:sz w:val="22"/>
          <w:szCs w:val="22"/>
        </w:rPr>
        <w:t xml:space="preserve"> in considerazione del </w:t>
      </w:r>
      <w:r w:rsidR="002E4633" w:rsidRPr="0006655E">
        <w:rPr>
          <w:rFonts w:ascii="Bookman Old Style" w:hAnsi="Bookman Old Style"/>
          <w:spacing w:val="4"/>
          <w:sz w:val="22"/>
          <w:szCs w:val="22"/>
        </w:rPr>
        <w:t>ristretto termine p</w:t>
      </w:r>
      <w:r w:rsidR="001B5E2C">
        <w:rPr>
          <w:rFonts w:ascii="Bookman Old Style" w:hAnsi="Bookman Old Style"/>
          <w:spacing w:val="4"/>
          <w:sz w:val="22"/>
          <w:szCs w:val="22"/>
        </w:rPr>
        <w:t>revisto per l’invio all’Agente della riscossione e per la pubblicazione sul sito</w:t>
      </w:r>
      <w:r w:rsidR="001B5E2C" w:rsidRPr="001B5E2C">
        <w:rPr>
          <w:rFonts w:ascii="Bookman Old Style" w:hAnsi="Bookman Old Style"/>
          <w:i/>
          <w:iCs/>
          <w:spacing w:val="4"/>
          <w:sz w:val="22"/>
          <w:szCs w:val="22"/>
        </w:rPr>
        <w:t xml:space="preserve"> internet</w:t>
      </w:r>
      <w:r w:rsidR="001B5E2C">
        <w:rPr>
          <w:rFonts w:ascii="Bookman Old Style" w:hAnsi="Bookman Old Style"/>
          <w:spacing w:val="4"/>
          <w:sz w:val="22"/>
          <w:szCs w:val="22"/>
        </w:rPr>
        <w:t xml:space="preserve"> istituzionale del Comune.</w:t>
      </w:r>
    </w:p>
    <w:sectPr w:rsidR="00FD4147" w:rsidRPr="0006655E" w:rsidSect="00501EA4">
      <w:footerReference w:type="default" r:id="rId7"/>
      <w:headerReference w:type="first" r:id="rId8"/>
      <w:footerReference w:type="first" r:id="rId9"/>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6D5D" w14:textId="77777777" w:rsidR="00407E82" w:rsidRDefault="00407E82">
      <w:r>
        <w:separator/>
      </w:r>
    </w:p>
  </w:endnote>
  <w:endnote w:type="continuationSeparator" w:id="0">
    <w:p w14:paraId="16819EB4" w14:textId="77777777" w:rsidR="00407E82" w:rsidRDefault="0040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0448975"/>
      <w:docPartObj>
        <w:docPartGallery w:val="Page Numbers (Bottom of Page)"/>
        <w:docPartUnique/>
      </w:docPartObj>
    </w:sdtPr>
    <w:sdtEndPr/>
    <w:sdtContent>
      <w:p w14:paraId="4D84B8DC" w14:textId="3AA1C770" w:rsidR="00501EA4" w:rsidRPr="00501EA4" w:rsidRDefault="00501EA4">
        <w:pPr>
          <w:pStyle w:val="Pidipagina"/>
          <w:jc w:val="right"/>
          <w:rPr>
            <w:sz w:val="18"/>
            <w:szCs w:val="18"/>
          </w:rPr>
        </w:pPr>
        <w:r w:rsidRPr="00501EA4">
          <w:rPr>
            <w:sz w:val="18"/>
            <w:szCs w:val="18"/>
          </w:rPr>
          <w:fldChar w:fldCharType="begin"/>
        </w:r>
        <w:r w:rsidRPr="00501EA4">
          <w:rPr>
            <w:sz w:val="18"/>
            <w:szCs w:val="18"/>
          </w:rPr>
          <w:instrText>PAGE   \* MERGEFORMAT</w:instrText>
        </w:r>
        <w:r w:rsidRPr="00501EA4">
          <w:rPr>
            <w:sz w:val="18"/>
            <w:szCs w:val="18"/>
          </w:rPr>
          <w:fldChar w:fldCharType="separate"/>
        </w:r>
        <w:r w:rsidRPr="00501EA4">
          <w:rPr>
            <w:sz w:val="18"/>
            <w:szCs w:val="18"/>
          </w:rPr>
          <w:t>2</w:t>
        </w:r>
        <w:r w:rsidRPr="00501EA4">
          <w:rPr>
            <w:sz w:val="18"/>
            <w:szCs w:val="18"/>
          </w:rPr>
          <w:fldChar w:fldCharType="end"/>
        </w:r>
      </w:p>
    </w:sdtContent>
  </w:sdt>
  <w:p w14:paraId="1F401769" w14:textId="77777777" w:rsidR="00E22E9C" w:rsidRDefault="00E22E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3271721"/>
      <w:docPartObj>
        <w:docPartGallery w:val="Page Numbers (Bottom of Page)"/>
        <w:docPartUnique/>
      </w:docPartObj>
    </w:sdtPr>
    <w:sdtEndPr/>
    <w:sdtContent>
      <w:p w14:paraId="1B32E500" w14:textId="7106BA19" w:rsidR="00E22E9C" w:rsidRPr="00501EA4" w:rsidRDefault="00E22E9C">
        <w:pPr>
          <w:pStyle w:val="Pidipagina"/>
          <w:jc w:val="right"/>
          <w:rPr>
            <w:sz w:val="18"/>
            <w:szCs w:val="18"/>
          </w:rPr>
        </w:pPr>
        <w:r w:rsidRPr="00501EA4">
          <w:rPr>
            <w:sz w:val="18"/>
            <w:szCs w:val="18"/>
          </w:rPr>
          <w:fldChar w:fldCharType="begin"/>
        </w:r>
        <w:r w:rsidRPr="00501EA4">
          <w:rPr>
            <w:sz w:val="18"/>
            <w:szCs w:val="18"/>
          </w:rPr>
          <w:instrText>PAGE   \* MERGEFORMAT</w:instrText>
        </w:r>
        <w:r w:rsidRPr="00501EA4">
          <w:rPr>
            <w:sz w:val="18"/>
            <w:szCs w:val="18"/>
          </w:rPr>
          <w:fldChar w:fldCharType="separate"/>
        </w:r>
        <w:r w:rsidRPr="00501EA4">
          <w:rPr>
            <w:sz w:val="18"/>
            <w:szCs w:val="18"/>
          </w:rPr>
          <w:t>2</w:t>
        </w:r>
        <w:r w:rsidRPr="00501EA4">
          <w:rPr>
            <w:sz w:val="18"/>
            <w:szCs w:val="18"/>
          </w:rPr>
          <w:fldChar w:fldCharType="end"/>
        </w:r>
      </w:p>
    </w:sdtContent>
  </w:sdt>
  <w:p w14:paraId="32485007" w14:textId="77777777" w:rsidR="00E22E9C" w:rsidRDefault="00E22E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7E49" w14:textId="77777777" w:rsidR="00407E82" w:rsidRDefault="00407E82">
      <w:r>
        <w:separator/>
      </w:r>
    </w:p>
  </w:footnote>
  <w:footnote w:type="continuationSeparator" w:id="0">
    <w:p w14:paraId="3654BF87" w14:textId="77777777" w:rsidR="00407E82" w:rsidRDefault="0040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0"/>
      <w:gridCol w:w="6408"/>
    </w:tblGrid>
    <w:tr w:rsidR="004A42AD" w:rsidRPr="0088738B" w14:paraId="5AF937B4" w14:textId="77777777" w:rsidTr="00DD5D5D">
      <w:tc>
        <w:tcPr>
          <w:tcW w:w="3259" w:type="dxa"/>
          <w:vAlign w:val="center"/>
        </w:tcPr>
        <w:p w14:paraId="072D0AA4" w14:textId="789EE447" w:rsidR="004A42AD" w:rsidRPr="005632F9" w:rsidRDefault="00617486" w:rsidP="00DD5D5D">
          <w:pPr>
            <w:pStyle w:val="Intestazione"/>
            <w:tabs>
              <w:tab w:val="clear" w:pos="4819"/>
              <w:tab w:val="clear" w:pos="9638"/>
            </w:tabs>
          </w:pPr>
          <w:r w:rsidRPr="00D0650E">
            <w:rPr>
              <w:noProof/>
            </w:rPr>
            <w:drawing>
              <wp:inline distT="0" distB="0" distL="0" distR="0" wp14:anchorId="50639B90" wp14:editId="2DBE4D0E">
                <wp:extent cx="742950" cy="62865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tc>
      <w:tc>
        <w:tcPr>
          <w:tcW w:w="6488" w:type="dxa"/>
          <w:vAlign w:val="center"/>
        </w:tcPr>
        <w:p w14:paraId="65FDF6FD" w14:textId="77777777" w:rsidR="004A42AD" w:rsidRPr="00DD5D5D" w:rsidRDefault="004A42AD" w:rsidP="00DD5D5D">
          <w:pPr>
            <w:pStyle w:val="Intestazione"/>
            <w:tabs>
              <w:tab w:val="clear" w:pos="4819"/>
              <w:tab w:val="clear" w:pos="9638"/>
            </w:tabs>
            <w:jc w:val="right"/>
            <w:rPr>
              <w:i/>
              <w:iCs/>
              <w:sz w:val="20"/>
              <w:szCs w:val="20"/>
            </w:rPr>
          </w:pPr>
          <w:r w:rsidRPr="00DD5D5D">
            <w:rPr>
              <w:i/>
              <w:iCs/>
              <w:sz w:val="20"/>
              <w:szCs w:val="20"/>
            </w:rPr>
            <w:t xml:space="preserve">Schema delibera </w:t>
          </w:r>
          <w:r w:rsidR="003A640D">
            <w:rPr>
              <w:i/>
              <w:iCs/>
              <w:sz w:val="20"/>
              <w:szCs w:val="20"/>
            </w:rPr>
            <w:t>adesione rottamazione quinquies</w:t>
          </w:r>
        </w:p>
      </w:tc>
    </w:tr>
  </w:tbl>
  <w:p w14:paraId="25DACE88" w14:textId="77777777" w:rsidR="004A42AD" w:rsidRDefault="004A42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CF0"/>
    <w:multiLevelType w:val="hybridMultilevel"/>
    <w:tmpl w:val="F46423A2"/>
    <w:lvl w:ilvl="0" w:tplc="4D24CD06">
      <w:numFmt w:val="bullet"/>
      <w:lvlText w:val="-"/>
      <w:lvlJc w:val="left"/>
      <w:pPr>
        <w:ind w:left="1027" w:hanging="63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start w:val="1"/>
      <w:numFmt w:val="bullet"/>
      <w:lvlText w:val=""/>
      <w:lvlJc w:val="left"/>
      <w:pPr>
        <w:ind w:left="2197" w:hanging="360"/>
      </w:pPr>
      <w:rPr>
        <w:rFonts w:ascii="Wingdings" w:hAnsi="Wingdings" w:hint="default"/>
      </w:rPr>
    </w:lvl>
    <w:lvl w:ilvl="3" w:tplc="04100001">
      <w:start w:val="1"/>
      <w:numFmt w:val="bullet"/>
      <w:lvlText w:val=""/>
      <w:lvlJc w:val="left"/>
      <w:pPr>
        <w:ind w:left="2917" w:hanging="360"/>
      </w:pPr>
      <w:rPr>
        <w:rFonts w:ascii="Symbol" w:hAnsi="Symbol" w:hint="default"/>
      </w:rPr>
    </w:lvl>
    <w:lvl w:ilvl="4" w:tplc="04100003">
      <w:start w:val="1"/>
      <w:numFmt w:val="bullet"/>
      <w:lvlText w:val="o"/>
      <w:lvlJc w:val="left"/>
      <w:pPr>
        <w:ind w:left="3637" w:hanging="360"/>
      </w:pPr>
      <w:rPr>
        <w:rFonts w:ascii="Courier New" w:hAnsi="Courier New" w:cs="Courier New" w:hint="default"/>
      </w:rPr>
    </w:lvl>
    <w:lvl w:ilvl="5" w:tplc="04100005">
      <w:start w:val="1"/>
      <w:numFmt w:val="bullet"/>
      <w:lvlText w:val=""/>
      <w:lvlJc w:val="left"/>
      <w:pPr>
        <w:ind w:left="4357" w:hanging="360"/>
      </w:pPr>
      <w:rPr>
        <w:rFonts w:ascii="Wingdings" w:hAnsi="Wingdings" w:hint="default"/>
      </w:rPr>
    </w:lvl>
    <w:lvl w:ilvl="6" w:tplc="04100001">
      <w:start w:val="1"/>
      <w:numFmt w:val="bullet"/>
      <w:lvlText w:val=""/>
      <w:lvlJc w:val="left"/>
      <w:pPr>
        <w:ind w:left="5077" w:hanging="360"/>
      </w:pPr>
      <w:rPr>
        <w:rFonts w:ascii="Symbol" w:hAnsi="Symbol" w:hint="default"/>
      </w:rPr>
    </w:lvl>
    <w:lvl w:ilvl="7" w:tplc="04100003">
      <w:start w:val="1"/>
      <w:numFmt w:val="bullet"/>
      <w:lvlText w:val="o"/>
      <w:lvlJc w:val="left"/>
      <w:pPr>
        <w:ind w:left="5797" w:hanging="360"/>
      </w:pPr>
      <w:rPr>
        <w:rFonts w:ascii="Courier New" w:hAnsi="Courier New" w:cs="Courier New" w:hint="default"/>
      </w:rPr>
    </w:lvl>
    <w:lvl w:ilvl="8" w:tplc="04100005">
      <w:start w:val="1"/>
      <w:numFmt w:val="bullet"/>
      <w:lvlText w:val=""/>
      <w:lvlJc w:val="left"/>
      <w:pPr>
        <w:ind w:left="6517" w:hanging="360"/>
      </w:pPr>
      <w:rPr>
        <w:rFonts w:ascii="Wingdings" w:hAnsi="Wingdings" w:hint="default"/>
      </w:rPr>
    </w:lvl>
  </w:abstractNum>
  <w:abstractNum w:abstractNumId="1" w15:restartNumberingAfterBreak="0">
    <w:nsid w:val="1148206C"/>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 w15:restartNumberingAfterBreak="0">
    <w:nsid w:val="25C41AA0"/>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 w15:restartNumberingAfterBreak="0">
    <w:nsid w:val="2B466A69"/>
    <w:multiLevelType w:val="hybridMultilevel"/>
    <w:tmpl w:val="D94CBE2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C78296D"/>
    <w:multiLevelType w:val="hybridMultilevel"/>
    <w:tmpl w:val="155A74EE"/>
    <w:lvl w:ilvl="0" w:tplc="35DC8C68">
      <w:start w:val="1"/>
      <w:numFmt w:val="decimal"/>
      <w:lvlText w:val="%1."/>
      <w:lvlJc w:val="left"/>
      <w:pPr>
        <w:ind w:left="1102" w:hanging="705"/>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 w15:restartNumberingAfterBreak="0">
    <w:nsid w:val="38944990"/>
    <w:multiLevelType w:val="hybridMultilevel"/>
    <w:tmpl w:val="5C4AEC26"/>
    <w:lvl w:ilvl="0" w:tplc="C9CA00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15:restartNumberingAfterBreak="0">
    <w:nsid w:val="3B0B47A8"/>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7" w15:restartNumberingAfterBreak="0">
    <w:nsid w:val="3F6F36B7"/>
    <w:multiLevelType w:val="hybridMultilevel"/>
    <w:tmpl w:val="68BEBD6C"/>
    <w:lvl w:ilvl="0" w:tplc="7F24F45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47CB70B6"/>
    <w:multiLevelType w:val="hybridMultilevel"/>
    <w:tmpl w:val="68BEBD6C"/>
    <w:lvl w:ilvl="0" w:tplc="7F24F45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9" w15:restartNumberingAfterBreak="0">
    <w:nsid w:val="56F23DD0"/>
    <w:multiLevelType w:val="hybridMultilevel"/>
    <w:tmpl w:val="ED0C9702"/>
    <w:lvl w:ilvl="0" w:tplc="1FA8C4F8">
      <w:start w:val="1"/>
      <w:numFmt w:val="decimal"/>
      <w:lvlText w:val="%1)"/>
      <w:lvlJc w:val="left"/>
      <w:pPr>
        <w:ind w:left="757" w:hanging="360"/>
      </w:pPr>
      <w:rPr>
        <w:rFonts w:hint="default"/>
        <w:b/>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0" w15:restartNumberingAfterBreak="0">
    <w:nsid w:val="5A7D4311"/>
    <w:multiLevelType w:val="hybridMultilevel"/>
    <w:tmpl w:val="5498A8D4"/>
    <w:lvl w:ilvl="0" w:tplc="D9E4909C">
      <w:start w:val="1"/>
      <w:numFmt w:val="bullet"/>
      <w:lvlText w:val="-"/>
      <w:lvlJc w:val="left"/>
      <w:rPr>
        <w:rFonts w:ascii="Times New Roman" w:eastAsia="Calibr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B391A23"/>
    <w:multiLevelType w:val="hybridMultilevel"/>
    <w:tmpl w:val="44725D8E"/>
    <w:lvl w:ilvl="0" w:tplc="155CB940">
      <w:start w:val="1"/>
      <w:numFmt w:val="lowerLetter"/>
      <w:lvlText w:val="%1)"/>
      <w:lvlJc w:val="left"/>
      <w:pPr>
        <w:ind w:left="1353" w:hanging="64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7D5746DF"/>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num w:numId="1" w16cid:durableId="2130925633">
    <w:abstractNumId w:val="0"/>
  </w:num>
  <w:num w:numId="2" w16cid:durableId="2018146188">
    <w:abstractNumId w:val="6"/>
  </w:num>
  <w:num w:numId="3" w16cid:durableId="55669533">
    <w:abstractNumId w:val="11"/>
  </w:num>
  <w:num w:numId="4" w16cid:durableId="1649703303">
    <w:abstractNumId w:val="12"/>
  </w:num>
  <w:num w:numId="5" w16cid:durableId="67270710">
    <w:abstractNumId w:val="9"/>
  </w:num>
  <w:num w:numId="6" w16cid:durableId="1868441683">
    <w:abstractNumId w:val="5"/>
  </w:num>
  <w:num w:numId="7" w16cid:durableId="571280344">
    <w:abstractNumId w:val="1"/>
  </w:num>
  <w:num w:numId="8" w16cid:durableId="506293641">
    <w:abstractNumId w:val="2"/>
  </w:num>
  <w:num w:numId="9" w16cid:durableId="1770814492">
    <w:abstractNumId w:val="8"/>
  </w:num>
  <w:num w:numId="10" w16cid:durableId="107894745">
    <w:abstractNumId w:val="7"/>
  </w:num>
  <w:num w:numId="11" w16cid:durableId="1597400270">
    <w:abstractNumId w:val="4"/>
  </w:num>
  <w:num w:numId="12" w16cid:durableId="34890951">
    <w:abstractNumId w:val="10"/>
  </w:num>
  <w:num w:numId="13" w16cid:durableId="188378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8C"/>
    <w:rsid w:val="00007C35"/>
    <w:rsid w:val="000104C9"/>
    <w:rsid w:val="00014B74"/>
    <w:rsid w:val="00030E44"/>
    <w:rsid w:val="00043A60"/>
    <w:rsid w:val="000647EC"/>
    <w:rsid w:val="0006655E"/>
    <w:rsid w:val="00074EDB"/>
    <w:rsid w:val="00076E1C"/>
    <w:rsid w:val="0008290A"/>
    <w:rsid w:val="000A37C3"/>
    <w:rsid w:val="000B04FC"/>
    <w:rsid w:val="00104D00"/>
    <w:rsid w:val="00144158"/>
    <w:rsid w:val="00146F37"/>
    <w:rsid w:val="00151C25"/>
    <w:rsid w:val="00176842"/>
    <w:rsid w:val="0019335C"/>
    <w:rsid w:val="001937F4"/>
    <w:rsid w:val="0019737F"/>
    <w:rsid w:val="001A228C"/>
    <w:rsid w:val="001A4D23"/>
    <w:rsid w:val="001B5E2C"/>
    <w:rsid w:val="001C6F2F"/>
    <w:rsid w:val="001C7C35"/>
    <w:rsid w:val="0024587D"/>
    <w:rsid w:val="002757A9"/>
    <w:rsid w:val="002B557D"/>
    <w:rsid w:val="002E0BB6"/>
    <w:rsid w:val="002E4633"/>
    <w:rsid w:val="00355DD9"/>
    <w:rsid w:val="00367F3A"/>
    <w:rsid w:val="00386A51"/>
    <w:rsid w:val="00395D9C"/>
    <w:rsid w:val="00395FC0"/>
    <w:rsid w:val="00396631"/>
    <w:rsid w:val="003A640D"/>
    <w:rsid w:val="00407E82"/>
    <w:rsid w:val="00410DB6"/>
    <w:rsid w:val="00424C66"/>
    <w:rsid w:val="00430C57"/>
    <w:rsid w:val="00441D87"/>
    <w:rsid w:val="0044368D"/>
    <w:rsid w:val="00460278"/>
    <w:rsid w:val="00473580"/>
    <w:rsid w:val="00490D09"/>
    <w:rsid w:val="004A42AD"/>
    <w:rsid w:val="004B22F7"/>
    <w:rsid w:val="004C3E2B"/>
    <w:rsid w:val="004C4D2A"/>
    <w:rsid w:val="004F0FB8"/>
    <w:rsid w:val="004F6449"/>
    <w:rsid w:val="004F67FF"/>
    <w:rsid w:val="00501039"/>
    <w:rsid w:val="00501EA4"/>
    <w:rsid w:val="0051104C"/>
    <w:rsid w:val="00511EE6"/>
    <w:rsid w:val="0052234E"/>
    <w:rsid w:val="005350A1"/>
    <w:rsid w:val="00543E8F"/>
    <w:rsid w:val="00562726"/>
    <w:rsid w:val="005632F9"/>
    <w:rsid w:val="005967D6"/>
    <w:rsid w:val="005B6F17"/>
    <w:rsid w:val="005F459E"/>
    <w:rsid w:val="006037C6"/>
    <w:rsid w:val="00605DE0"/>
    <w:rsid w:val="00617486"/>
    <w:rsid w:val="00625BDF"/>
    <w:rsid w:val="006366B1"/>
    <w:rsid w:val="006373F6"/>
    <w:rsid w:val="00641BF1"/>
    <w:rsid w:val="0066088C"/>
    <w:rsid w:val="0066265F"/>
    <w:rsid w:val="00682B9F"/>
    <w:rsid w:val="00685F0F"/>
    <w:rsid w:val="0069068A"/>
    <w:rsid w:val="006A3D9F"/>
    <w:rsid w:val="006A4FAA"/>
    <w:rsid w:val="006A6E63"/>
    <w:rsid w:val="006B0B24"/>
    <w:rsid w:val="00705CA5"/>
    <w:rsid w:val="00740B1C"/>
    <w:rsid w:val="007B67E9"/>
    <w:rsid w:val="008054E5"/>
    <w:rsid w:val="0082443C"/>
    <w:rsid w:val="0083434F"/>
    <w:rsid w:val="0083675C"/>
    <w:rsid w:val="0088738B"/>
    <w:rsid w:val="00890364"/>
    <w:rsid w:val="008A20A5"/>
    <w:rsid w:val="008B6C85"/>
    <w:rsid w:val="008B6CA6"/>
    <w:rsid w:val="008C1555"/>
    <w:rsid w:val="008D2D59"/>
    <w:rsid w:val="00923CE4"/>
    <w:rsid w:val="0095446A"/>
    <w:rsid w:val="0095539A"/>
    <w:rsid w:val="00967439"/>
    <w:rsid w:val="00971B63"/>
    <w:rsid w:val="00986153"/>
    <w:rsid w:val="009904BF"/>
    <w:rsid w:val="009970A8"/>
    <w:rsid w:val="009A4483"/>
    <w:rsid w:val="009D39AD"/>
    <w:rsid w:val="009D53F3"/>
    <w:rsid w:val="009E3EF6"/>
    <w:rsid w:val="009E7931"/>
    <w:rsid w:val="00A10FCC"/>
    <w:rsid w:val="00A16DF7"/>
    <w:rsid w:val="00A24091"/>
    <w:rsid w:val="00A34C1E"/>
    <w:rsid w:val="00A44626"/>
    <w:rsid w:val="00A532E2"/>
    <w:rsid w:val="00A616B4"/>
    <w:rsid w:val="00A67F07"/>
    <w:rsid w:val="00A67F65"/>
    <w:rsid w:val="00A83821"/>
    <w:rsid w:val="00A93DC4"/>
    <w:rsid w:val="00A97F3F"/>
    <w:rsid w:val="00AA11E0"/>
    <w:rsid w:val="00AA2638"/>
    <w:rsid w:val="00AA7144"/>
    <w:rsid w:val="00AD46EF"/>
    <w:rsid w:val="00AD6008"/>
    <w:rsid w:val="00AF765E"/>
    <w:rsid w:val="00B31A5E"/>
    <w:rsid w:val="00B3322D"/>
    <w:rsid w:val="00B36E11"/>
    <w:rsid w:val="00B4487D"/>
    <w:rsid w:val="00B45A53"/>
    <w:rsid w:val="00B62E3B"/>
    <w:rsid w:val="00B679C7"/>
    <w:rsid w:val="00B94824"/>
    <w:rsid w:val="00BA37B5"/>
    <w:rsid w:val="00BB7823"/>
    <w:rsid w:val="00BC2F51"/>
    <w:rsid w:val="00BE1773"/>
    <w:rsid w:val="00BF31DE"/>
    <w:rsid w:val="00C159A9"/>
    <w:rsid w:val="00C31A57"/>
    <w:rsid w:val="00C45FDB"/>
    <w:rsid w:val="00C80AB2"/>
    <w:rsid w:val="00CB2DE5"/>
    <w:rsid w:val="00CF61F1"/>
    <w:rsid w:val="00CF6EFB"/>
    <w:rsid w:val="00CF74D1"/>
    <w:rsid w:val="00D1509B"/>
    <w:rsid w:val="00D1518D"/>
    <w:rsid w:val="00D329AC"/>
    <w:rsid w:val="00D50198"/>
    <w:rsid w:val="00D86588"/>
    <w:rsid w:val="00DC2CB3"/>
    <w:rsid w:val="00DD559D"/>
    <w:rsid w:val="00DD5D5D"/>
    <w:rsid w:val="00DD6663"/>
    <w:rsid w:val="00DF3820"/>
    <w:rsid w:val="00E06897"/>
    <w:rsid w:val="00E1105D"/>
    <w:rsid w:val="00E15058"/>
    <w:rsid w:val="00E22E9C"/>
    <w:rsid w:val="00E30E17"/>
    <w:rsid w:val="00E33F7C"/>
    <w:rsid w:val="00E64C90"/>
    <w:rsid w:val="00E941F9"/>
    <w:rsid w:val="00EA4659"/>
    <w:rsid w:val="00EB61CC"/>
    <w:rsid w:val="00EC05A0"/>
    <w:rsid w:val="00EC319A"/>
    <w:rsid w:val="00F1467E"/>
    <w:rsid w:val="00F27C75"/>
    <w:rsid w:val="00F73FAA"/>
    <w:rsid w:val="00F771A6"/>
    <w:rsid w:val="00F775E8"/>
    <w:rsid w:val="00F859BE"/>
    <w:rsid w:val="00FA151C"/>
    <w:rsid w:val="00FA7CB1"/>
    <w:rsid w:val="00FB1378"/>
    <w:rsid w:val="00FC4255"/>
    <w:rsid w:val="00FC4951"/>
    <w:rsid w:val="00FD4147"/>
    <w:rsid w:val="00FF256D"/>
    <w:rsid w:val="00FF3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4163"/>
  <w15:docId w15:val="{C1CAFDBB-2D88-49C5-BBDD-0DE29BF7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88C"/>
    <w:rPr>
      <w:sz w:val="22"/>
      <w:szCs w:val="22"/>
    </w:rPr>
  </w:style>
  <w:style w:type="paragraph" w:styleId="Titolo3">
    <w:name w:val="heading 3"/>
    <w:basedOn w:val="Normale"/>
    <w:link w:val="Titolo3Carattere"/>
    <w:uiPriority w:val="9"/>
    <w:qFormat/>
    <w:rsid w:val="00CF6EFB"/>
    <w:pPr>
      <w:spacing w:before="100" w:beforeAutospacing="1" w:after="100" w:afterAutospacing="1"/>
      <w:outlineLvl w:val="2"/>
    </w:pPr>
    <w:rPr>
      <w:rFonts w:ascii="Times New Roman" w:eastAsia="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rsid w:val="0066088C"/>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66088C"/>
    <w:pPr>
      <w:tabs>
        <w:tab w:val="center" w:pos="4819"/>
        <w:tab w:val="right" w:pos="9638"/>
      </w:tabs>
    </w:pPr>
  </w:style>
  <w:style w:type="character" w:customStyle="1" w:styleId="PidipaginaCarattere">
    <w:name w:val="Piè di pagina Carattere"/>
    <w:link w:val="Pidipagina"/>
    <w:uiPriority w:val="99"/>
    <w:rsid w:val="0066088C"/>
    <w:rPr>
      <w:rFonts w:ascii="Calibri" w:eastAsia="Calibri" w:hAnsi="Calibri" w:cs="Times New Roman"/>
      <w:lang w:eastAsia="it-IT"/>
    </w:rPr>
  </w:style>
  <w:style w:type="paragraph" w:customStyle="1" w:styleId="Normale0">
    <w:name w:val="[Normale]"/>
    <w:basedOn w:val="Normale"/>
    <w:rsid w:val="0066088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0"/>
    </w:rPr>
  </w:style>
  <w:style w:type="paragraph" w:styleId="Testofumetto">
    <w:name w:val="Balloon Text"/>
    <w:basedOn w:val="Normale"/>
    <w:link w:val="TestofumettoCarattere"/>
    <w:uiPriority w:val="99"/>
    <w:semiHidden/>
    <w:unhideWhenUsed/>
    <w:rsid w:val="0066088C"/>
    <w:rPr>
      <w:rFonts w:ascii="Tahoma" w:hAnsi="Tahoma" w:cs="Tahoma"/>
      <w:sz w:val="16"/>
      <w:szCs w:val="16"/>
    </w:rPr>
  </w:style>
  <w:style w:type="character" w:customStyle="1" w:styleId="TestofumettoCarattere">
    <w:name w:val="Testo fumetto Carattere"/>
    <w:link w:val="Testofumetto"/>
    <w:uiPriority w:val="99"/>
    <w:semiHidden/>
    <w:rsid w:val="0066088C"/>
    <w:rPr>
      <w:rFonts w:ascii="Tahoma" w:eastAsia="Calibri" w:hAnsi="Tahoma" w:cs="Tahoma"/>
      <w:sz w:val="16"/>
      <w:szCs w:val="16"/>
      <w:lang w:eastAsia="it-IT"/>
    </w:rPr>
  </w:style>
  <w:style w:type="character" w:customStyle="1" w:styleId="linkneltesto">
    <w:name w:val="link_nel_testo"/>
    <w:rsid w:val="00A83821"/>
    <w:rPr>
      <w:i/>
      <w:iCs/>
    </w:rPr>
  </w:style>
  <w:style w:type="character" w:customStyle="1" w:styleId="provvnumcomma">
    <w:name w:val="provv_numcomma"/>
    <w:basedOn w:val="Carpredefinitoparagrafo"/>
    <w:rsid w:val="00A83821"/>
  </w:style>
  <w:style w:type="paragraph" w:customStyle="1" w:styleId="provvnota">
    <w:name w:val="provv_nota"/>
    <w:basedOn w:val="Normale"/>
    <w:rsid w:val="00C31A57"/>
    <w:pPr>
      <w:spacing w:before="100" w:beforeAutospacing="1" w:after="100" w:afterAutospacing="1"/>
      <w:jc w:val="both"/>
    </w:pPr>
    <w:rPr>
      <w:rFonts w:ascii="Times New Roman" w:eastAsia="Times New Roman" w:hAnsi="Times New Roman"/>
      <w:sz w:val="24"/>
      <w:szCs w:val="24"/>
    </w:rPr>
  </w:style>
  <w:style w:type="paragraph" w:styleId="Intestazione">
    <w:name w:val="header"/>
    <w:basedOn w:val="Normale"/>
    <w:link w:val="IntestazioneCarattere"/>
    <w:unhideWhenUsed/>
    <w:rsid w:val="00014B74"/>
    <w:pPr>
      <w:tabs>
        <w:tab w:val="center" w:pos="4819"/>
        <w:tab w:val="right" w:pos="9638"/>
      </w:tabs>
    </w:pPr>
  </w:style>
  <w:style w:type="character" w:customStyle="1" w:styleId="IntestazioneCarattere">
    <w:name w:val="Intestazione Carattere"/>
    <w:link w:val="Intestazione"/>
    <w:rsid w:val="00014B74"/>
    <w:rPr>
      <w:rFonts w:ascii="Calibri" w:eastAsia="Calibri" w:hAnsi="Calibri" w:cs="Times New Roman"/>
      <w:lang w:eastAsia="it-IT"/>
    </w:rPr>
  </w:style>
  <w:style w:type="character" w:styleId="Collegamentoipertestuale">
    <w:name w:val="Hyperlink"/>
    <w:uiPriority w:val="99"/>
    <w:unhideWhenUsed/>
    <w:rsid w:val="0083434F"/>
    <w:rPr>
      <w:color w:val="0000FF"/>
      <w:u w:val="single"/>
    </w:rPr>
  </w:style>
  <w:style w:type="paragraph" w:customStyle="1" w:styleId="Default">
    <w:name w:val="Default"/>
    <w:rsid w:val="008B6C85"/>
    <w:pPr>
      <w:autoSpaceDE w:val="0"/>
      <w:autoSpaceDN w:val="0"/>
      <w:adjustRightInd w:val="0"/>
    </w:pPr>
    <w:rPr>
      <w:rFonts w:ascii="Segoe UI" w:hAnsi="Segoe UI" w:cs="Segoe UI"/>
      <w:color w:val="000000"/>
      <w:sz w:val="24"/>
      <w:szCs w:val="24"/>
      <w:lang w:eastAsia="en-US"/>
    </w:rPr>
  </w:style>
  <w:style w:type="paragraph" w:styleId="Paragrafoelenco">
    <w:name w:val="List Paragraph"/>
    <w:basedOn w:val="Normale"/>
    <w:uiPriority w:val="34"/>
    <w:qFormat/>
    <w:rsid w:val="008B6C85"/>
    <w:pPr>
      <w:ind w:left="720"/>
      <w:contextualSpacing/>
    </w:pPr>
  </w:style>
  <w:style w:type="character" w:styleId="Enfasigrassetto">
    <w:name w:val="Strong"/>
    <w:uiPriority w:val="22"/>
    <w:qFormat/>
    <w:rsid w:val="00490D09"/>
    <w:rPr>
      <w:b/>
      <w:bCs/>
    </w:rPr>
  </w:style>
  <w:style w:type="paragraph" w:styleId="Corpotesto">
    <w:name w:val="Body Text"/>
    <w:basedOn w:val="Normale"/>
    <w:link w:val="CorpotestoCarattere"/>
    <w:uiPriority w:val="1"/>
    <w:qFormat/>
    <w:rsid w:val="00B679C7"/>
    <w:pPr>
      <w:widowControl w:val="0"/>
      <w:autoSpaceDE w:val="0"/>
      <w:autoSpaceDN w:val="0"/>
    </w:pPr>
    <w:rPr>
      <w:rFonts w:ascii="Bookman Old Style" w:eastAsia="Bookman Old Style" w:hAnsi="Bookman Old Style" w:cs="Bookman Old Style"/>
      <w:lang w:bidi="it-IT"/>
    </w:rPr>
  </w:style>
  <w:style w:type="character" w:customStyle="1" w:styleId="CorpotestoCarattere">
    <w:name w:val="Corpo testo Carattere"/>
    <w:link w:val="Corpotesto"/>
    <w:uiPriority w:val="1"/>
    <w:rsid w:val="00B679C7"/>
    <w:rPr>
      <w:rFonts w:ascii="Bookman Old Style" w:eastAsia="Bookman Old Style" w:hAnsi="Bookman Old Style" w:cs="Bookman Old Style"/>
      <w:lang w:eastAsia="it-IT" w:bidi="it-IT"/>
    </w:rPr>
  </w:style>
  <w:style w:type="character" w:customStyle="1" w:styleId="Titolo3Carattere">
    <w:name w:val="Titolo 3 Carattere"/>
    <w:link w:val="Titolo3"/>
    <w:uiPriority w:val="9"/>
    <w:rsid w:val="00CF6EFB"/>
    <w:rPr>
      <w:rFonts w:ascii="Times New Roman" w:eastAsia="Times New Roman" w:hAnsi="Times New Roman" w:cs="Times New Roman"/>
      <w:b/>
      <w:bCs/>
      <w:sz w:val="27"/>
      <w:szCs w:val="27"/>
      <w:lang w:eastAsia="it-IT"/>
    </w:rPr>
  </w:style>
  <w:style w:type="table" w:styleId="Grigliatabella">
    <w:name w:val="Table Grid"/>
    <w:basedOn w:val="Tabellanormale"/>
    <w:uiPriority w:val="59"/>
    <w:rsid w:val="0056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rsid w:val="00625BDF"/>
    <w:pPr>
      <w:jc w:val="both"/>
    </w:pPr>
    <w:rPr>
      <w:rFonts w:ascii="Bookman Old Style" w:hAnsi="Bookman Old Style"/>
      <w:sz w:val="18"/>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link w:val="Testonotaapidipagina"/>
    <w:uiPriority w:val="99"/>
    <w:rsid w:val="00625BDF"/>
    <w:rPr>
      <w:rFonts w:ascii="Bookman Old Style" w:hAnsi="Bookman Old Style"/>
      <w:sz w:val="18"/>
    </w:rPr>
  </w:style>
  <w:style w:type="character" w:styleId="Rimandonotaapidipagina">
    <w:name w:val="footnote reference"/>
    <w:uiPriority w:val="99"/>
    <w:unhideWhenUsed/>
    <w:rsid w:val="00625BDF"/>
    <w:rPr>
      <w:vertAlign w:val="superscript"/>
    </w:rPr>
  </w:style>
  <w:style w:type="paragraph" w:styleId="Revisione">
    <w:name w:val="Revision"/>
    <w:hidden/>
    <w:uiPriority w:val="99"/>
    <w:semiHidden/>
    <w:rsid w:val="0008290A"/>
    <w:rPr>
      <w:sz w:val="22"/>
      <w:szCs w:val="22"/>
    </w:rPr>
  </w:style>
  <w:style w:type="character" w:styleId="Rimandocommento">
    <w:name w:val="annotation reference"/>
    <w:uiPriority w:val="99"/>
    <w:semiHidden/>
    <w:unhideWhenUsed/>
    <w:rsid w:val="00971B63"/>
    <w:rPr>
      <w:sz w:val="16"/>
      <w:szCs w:val="16"/>
    </w:rPr>
  </w:style>
  <w:style w:type="paragraph" w:styleId="Testocommento">
    <w:name w:val="annotation text"/>
    <w:basedOn w:val="Normale"/>
    <w:link w:val="TestocommentoCarattere"/>
    <w:uiPriority w:val="99"/>
    <w:unhideWhenUsed/>
    <w:rsid w:val="00971B63"/>
    <w:rPr>
      <w:sz w:val="20"/>
      <w:szCs w:val="20"/>
    </w:rPr>
  </w:style>
  <w:style w:type="character" w:customStyle="1" w:styleId="TestocommentoCarattere">
    <w:name w:val="Testo commento Carattere"/>
    <w:basedOn w:val="Carpredefinitoparagrafo"/>
    <w:link w:val="Testocommento"/>
    <w:uiPriority w:val="99"/>
    <w:rsid w:val="00971B63"/>
  </w:style>
  <w:style w:type="paragraph" w:styleId="Soggettocommento">
    <w:name w:val="annotation subject"/>
    <w:basedOn w:val="Testocommento"/>
    <w:next w:val="Testocommento"/>
    <w:link w:val="SoggettocommentoCarattere"/>
    <w:uiPriority w:val="99"/>
    <w:semiHidden/>
    <w:unhideWhenUsed/>
    <w:rsid w:val="00971B63"/>
    <w:rPr>
      <w:b/>
      <w:bCs/>
    </w:rPr>
  </w:style>
  <w:style w:type="character" w:customStyle="1" w:styleId="SoggettocommentoCarattere">
    <w:name w:val="Soggetto commento Carattere"/>
    <w:link w:val="Soggettocommento"/>
    <w:uiPriority w:val="99"/>
    <w:semiHidden/>
    <w:rsid w:val="00971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9742</Characters>
  <Application>Microsoft Office Word</Application>
  <DocSecurity>4</DocSecurity>
  <Lines>81</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Narducci</dc:creator>
  <cp:keywords/>
  <cp:lastModifiedBy>Federica Narducci</cp:lastModifiedBy>
  <cp:revision>2</cp:revision>
  <dcterms:created xsi:type="dcterms:W3CDTF">2026-05-18T19:03:00Z</dcterms:created>
  <dcterms:modified xsi:type="dcterms:W3CDTF">2026-05-18T19:03:00Z</dcterms:modified>
</cp:coreProperties>
</file>