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D7BDA" w14:textId="77777777" w:rsidR="0047403D" w:rsidRPr="00720219" w:rsidRDefault="0047403D" w:rsidP="0047403D">
      <w:pPr>
        <w:jc w:val="center"/>
        <w:rPr>
          <w:rFonts w:ascii="Bookman Old Style" w:hAnsi="Bookman Old Style"/>
          <w:b/>
          <w:bCs/>
        </w:rPr>
      </w:pPr>
      <w:r w:rsidRPr="00720219">
        <w:rPr>
          <w:rFonts w:ascii="Bookman Old Style" w:hAnsi="Bookman Old Style"/>
          <w:noProof/>
        </w:rPr>
        <w:drawing>
          <wp:inline distT="0" distB="0" distL="0" distR="0" wp14:anchorId="5FC4ECFF" wp14:editId="20C4DEAF">
            <wp:extent cx="733425" cy="1094496"/>
            <wp:effectExtent l="0" t="0" r="0" b="0"/>
            <wp:docPr id="1" name="Picture 1"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descr="Immagine che contiene disegnand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4519" cy="1096129"/>
                    </a:xfrm>
                    <a:prstGeom prst="rect">
                      <a:avLst/>
                    </a:prstGeom>
                    <a:noFill/>
                    <a:ln>
                      <a:noFill/>
                    </a:ln>
                  </pic:spPr>
                </pic:pic>
              </a:graphicData>
            </a:graphic>
          </wp:inline>
        </w:drawing>
      </w:r>
    </w:p>
    <w:p w14:paraId="4DE53E86" w14:textId="77777777" w:rsidR="0047403D" w:rsidRPr="00720219" w:rsidRDefault="0047403D" w:rsidP="0047403D">
      <w:pPr>
        <w:jc w:val="center"/>
        <w:rPr>
          <w:rFonts w:ascii="Bookman Old Style" w:hAnsi="Bookman Old Style"/>
          <w:b/>
          <w:bCs/>
        </w:rPr>
      </w:pPr>
    </w:p>
    <w:p w14:paraId="6E9C7CE8" w14:textId="77777777" w:rsidR="0047403D" w:rsidRPr="00720219" w:rsidRDefault="0047403D" w:rsidP="0047403D">
      <w:pPr>
        <w:jc w:val="center"/>
        <w:rPr>
          <w:rFonts w:ascii="Bookman Old Style" w:hAnsi="Bookman Old Style"/>
          <w:b/>
          <w:bCs/>
        </w:rPr>
      </w:pPr>
    </w:p>
    <w:p w14:paraId="0470D582" w14:textId="77777777" w:rsidR="0047403D" w:rsidRPr="00720219" w:rsidRDefault="0047403D" w:rsidP="0047403D">
      <w:pPr>
        <w:jc w:val="center"/>
        <w:rPr>
          <w:rFonts w:ascii="Bookman Old Style" w:hAnsi="Bookman Old Style"/>
          <w:b/>
          <w:bCs/>
        </w:rPr>
      </w:pPr>
    </w:p>
    <w:p w14:paraId="77BB8E33" w14:textId="77777777" w:rsidR="0047403D" w:rsidRPr="00720219" w:rsidRDefault="0047403D" w:rsidP="0047403D">
      <w:pPr>
        <w:jc w:val="center"/>
        <w:rPr>
          <w:rFonts w:ascii="Bookman Old Style" w:hAnsi="Bookman Old Style"/>
          <w:b/>
          <w:bCs/>
        </w:rPr>
      </w:pPr>
    </w:p>
    <w:p w14:paraId="714B40A5" w14:textId="77777777" w:rsidR="0047403D" w:rsidRPr="00720219" w:rsidRDefault="0047403D" w:rsidP="0047403D">
      <w:pPr>
        <w:jc w:val="center"/>
        <w:rPr>
          <w:rFonts w:ascii="Bookman Old Style" w:hAnsi="Bookman Old Style"/>
          <w:b/>
          <w:bCs/>
        </w:rPr>
      </w:pPr>
    </w:p>
    <w:p w14:paraId="6EFBFF89" w14:textId="010C724B" w:rsidR="0047403D" w:rsidRPr="00720219" w:rsidRDefault="0047403D" w:rsidP="0047403D">
      <w:pPr>
        <w:jc w:val="center"/>
        <w:rPr>
          <w:rFonts w:ascii="Bookman Old Style" w:hAnsi="Bookman Old Style"/>
          <w:b/>
          <w:bCs/>
        </w:rPr>
      </w:pPr>
      <w:r w:rsidRPr="00720219">
        <w:rPr>
          <w:rFonts w:ascii="Bookman Old Style" w:hAnsi="Bookman Old Style"/>
          <w:b/>
          <w:bCs/>
        </w:rPr>
        <w:t xml:space="preserve">PROPOSTE </w:t>
      </w:r>
      <w:r w:rsidR="001A5B9E" w:rsidRPr="00720219">
        <w:rPr>
          <w:rFonts w:ascii="Bookman Old Style" w:hAnsi="Bookman Old Style"/>
          <w:b/>
          <w:bCs/>
        </w:rPr>
        <w:t xml:space="preserve">DI </w:t>
      </w:r>
      <w:r w:rsidRPr="00720219">
        <w:rPr>
          <w:rFonts w:ascii="Bookman Old Style" w:hAnsi="Bookman Old Style"/>
          <w:b/>
          <w:bCs/>
        </w:rPr>
        <w:t xml:space="preserve">EMENDAMENTI </w:t>
      </w:r>
    </w:p>
    <w:p w14:paraId="254E45D0" w14:textId="77777777" w:rsidR="001A5B9E" w:rsidRPr="00720219" w:rsidRDefault="001A5B9E" w:rsidP="0047403D">
      <w:pPr>
        <w:jc w:val="center"/>
        <w:rPr>
          <w:rFonts w:ascii="Bookman Old Style" w:hAnsi="Bookman Old Style"/>
          <w:b/>
          <w:bCs/>
        </w:rPr>
      </w:pPr>
    </w:p>
    <w:p w14:paraId="0E7A1EE8" w14:textId="02819E03" w:rsidR="001A5B9E" w:rsidRPr="00720219" w:rsidRDefault="001A5B9E" w:rsidP="001A5B9E">
      <w:pPr>
        <w:jc w:val="center"/>
        <w:rPr>
          <w:rFonts w:ascii="Bookman Old Style" w:hAnsi="Bookman Old Style"/>
          <w:b/>
          <w:bCs/>
        </w:rPr>
      </w:pPr>
      <w:r w:rsidRPr="00720219">
        <w:rPr>
          <w:rFonts w:ascii="Bookman Old Style" w:hAnsi="Bookman Old Style"/>
          <w:b/>
          <w:bCs/>
        </w:rPr>
        <w:t>DDL di conversione del decreto-legge 26 giugno 2026, n. 107, recante</w:t>
      </w:r>
      <w:r w:rsidR="00661145" w:rsidRPr="00720219">
        <w:rPr>
          <w:rFonts w:ascii="Bookman Old Style" w:hAnsi="Bookman Old Style"/>
          <w:b/>
          <w:bCs/>
        </w:rPr>
        <w:t xml:space="preserve"> “</w:t>
      </w:r>
      <w:r w:rsidRPr="00720219">
        <w:rPr>
          <w:rFonts w:ascii="Bookman Old Style" w:hAnsi="Bookman Old Style"/>
          <w:b/>
          <w:bCs/>
        </w:rPr>
        <w:t>Disposizioni urgenti per interventi infrastrutturali e per l’attuazione del Piano nazionale di ripresa e resilienza (PNRR), nonché ulteriori disposizioni finanziarie urgenti</w:t>
      </w:r>
      <w:r w:rsidR="00661145" w:rsidRPr="00720219">
        <w:rPr>
          <w:rFonts w:ascii="Bookman Old Style" w:hAnsi="Bookman Old Style"/>
          <w:b/>
          <w:bCs/>
        </w:rPr>
        <w:t>”</w:t>
      </w:r>
    </w:p>
    <w:p w14:paraId="7017AFE8" w14:textId="77777777" w:rsidR="00661145" w:rsidRPr="00720219" w:rsidRDefault="00661145" w:rsidP="001A5B9E">
      <w:pPr>
        <w:jc w:val="center"/>
        <w:rPr>
          <w:rFonts w:ascii="Bookman Old Style" w:hAnsi="Bookman Old Style"/>
          <w:b/>
          <w:bCs/>
        </w:rPr>
      </w:pPr>
    </w:p>
    <w:p w14:paraId="1E40F121" w14:textId="012FED3C" w:rsidR="00661145" w:rsidRPr="00720219" w:rsidRDefault="00471A87" w:rsidP="001A5B9E">
      <w:pPr>
        <w:jc w:val="center"/>
        <w:rPr>
          <w:rFonts w:ascii="Bookman Old Style" w:hAnsi="Bookman Old Style"/>
          <w:b/>
          <w:bCs/>
        </w:rPr>
      </w:pPr>
      <w:r w:rsidRPr="00720219">
        <w:rPr>
          <w:rFonts w:ascii="Bookman Old Style" w:hAnsi="Bookman Old Style"/>
          <w:b/>
          <w:bCs/>
        </w:rPr>
        <w:t>AC2987</w:t>
      </w:r>
    </w:p>
    <w:p w14:paraId="294C0B73" w14:textId="50080E0F" w:rsidR="002B32F5" w:rsidRPr="00720219" w:rsidRDefault="00E467BC" w:rsidP="002B32F5">
      <w:pPr>
        <w:rPr>
          <w:rFonts w:ascii="Bookman Old Style" w:hAnsi="Bookman Old Style"/>
          <w:b/>
          <w:bCs/>
        </w:rPr>
      </w:pPr>
      <w:r w:rsidRPr="00720219">
        <w:rPr>
          <w:rFonts w:ascii="Bookman Old Style" w:hAnsi="Bookman Old Style"/>
          <w:b/>
          <w:bCs/>
        </w:rPr>
        <w:br w:type="page"/>
      </w:r>
      <w:bookmarkStart w:id="0" w:name="_Toc226541273"/>
      <w:bookmarkStart w:id="1" w:name="_Toc225940627"/>
    </w:p>
    <w:p w14:paraId="71B85C0C" w14:textId="6C1E04A4" w:rsidR="009F3B75" w:rsidRPr="00720219" w:rsidRDefault="009F3B75" w:rsidP="009F3B75">
      <w:pPr>
        <w:keepNext/>
        <w:keepLines/>
        <w:spacing w:before="360" w:after="80" w:line="256" w:lineRule="auto"/>
        <w:ind w:left="720"/>
        <w:jc w:val="both"/>
        <w:outlineLvl w:val="0"/>
        <w:rPr>
          <w:rFonts w:ascii="Bookman Old Style" w:eastAsiaTheme="majorEastAsia" w:hAnsi="Bookman Old Style" w:cstheme="majorBidi"/>
          <w:b/>
          <w:bCs/>
          <w:color w:val="0F4761" w:themeColor="accent1" w:themeShade="BF"/>
        </w:rPr>
      </w:pPr>
      <w:bookmarkStart w:id="2" w:name="_Toc226541297"/>
      <w:r w:rsidRPr="00720219">
        <w:rPr>
          <w:rFonts w:ascii="Bookman Old Style" w:eastAsiaTheme="majorEastAsia" w:hAnsi="Bookman Old Style" w:cstheme="majorBidi"/>
          <w:b/>
          <w:bCs/>
          <w:color w:val="0F4761" w:themeColor="accent1" w:themeShade="BF"/>
        </w:rPr>
        <w:lastRenderedPageBreak/>
        <w:t>PROPOSTE FONDAMENTALI</w:t>
      </w:r>
    </w:p>
    <w:p w14:paraId="69326572" w14:textId="22E33D52" w:rsidR="00796FC0" w:rsidRPr="00720219" w:rsidRDefault="00796FC0" w:rsidP="00796FC0">
      <w:pPr>
        <w:keepNext/>
        <w:keepLines/>
        <w:numPr>
          <w:ilvl w:val="0"/>
          <w:numId w:val="2"/>
        </w:numPr>
        <w:spacing w:before="360" w:after="80" w:line="256" w:lineRule="auto"/>
        <w:jc w:val="both"/>
        <w:outlineLvl w:val="0"/>
        <w:rPr>
          <w:rFonts w:ascii="Bookman Old Style" w:eastAsiaTheme="majorEastAsia" w:hAnsi="Bookman Old Style" w:cstheme="majorBidi"/>
          <w:b/>
          <w:bCs/>
          <w:color w:val="0F4761" w:themeColor="accent1" w:themeShade="BF"/>
        </w:rPr>
      </w:pPr>
      <w:r w:rsidRPr="00720219">
        <w:rPr>
          <w:rFonts w:ascii="Bookman Old Style" w:eastAsiaTheme="majorEastAsia" w:hAnsi="Bookman Old Style" w:cstheme="majorBidi"/>
          <w:b/>
          <w:bCs/>
          <w:color w:val="0F4761" w:themeColor="accent1" w:themeShade="BF"/>
        </w:rPr>
        <w:t xml:space="preserve">Rafforzamento capacità amministrativa dei Comuni e </w:t>
      </w:r>
      <w:r w:rsidR="00BA0F73" w:rsidRPr="00720219">
        <w:rPr>
          <w:rFonts w:ascii="Bookman Old Style" w:eastAsiaTheme="majorEastAsia" w:hAnsi="Bookman Old Style" w:cstheme="majorBidi"/>
          <w:b/>
          <w:bCs/>
          <w:color w:val="0F4761" w:themeColor="accent1" w:themeShade="BF"/>
        </w:rPr>
        <w:t xml:space="preserve">delle </w:t>
      </w:r>
      <w:r w:rsidRPr="00720219">
        <w:rPr>
          <w:rFonts w:ascii="Bookman Old Style" w:eastAsiaTheme="majorEastAsia" w:hAnsi="Bookman Old Style" w:cstheme="majorBidi"/>
          <w:b/>
          <w:bCs/>
          <w:color w:val="0F4761" w:themeColor="accent1" w:themeShade="BF"/>
        </w:rPr>
        <w:t>Città metropolitane titolari di misure PNRR</w:t>
      </w:r>
      <w:bookmarkEnd w:id="2"/>
    </w:p>
    <w:p w14:paraId="4D6AB4C8" w14:textId="77777777" w:rsidR="00796FC0" w:rsidRPr="00720219" w:rsidRDefault="00796FC0" w:rsidP="00796FC0">
      <w:pPr>
        <w:ind w:left="360"/>
        <w:rPr>
          <w:rFonts w:ascii="Bookman Old Style" w:hAnsi="Bookman Old Style"/>
          <w:i/>
          <w:iCs/>
        </w:rPr>
      </w:pPr>
    </w:p>
    <w:p w14:paraId="11A64BDA" w14:textId="77777777" w:rsidR="00796FC0" w:rsidRPr="00720219" w:rsidRDefault="00796FC0" w:rsidP="00796FC0">
      <w:pPr>
        <w:ind w:left="360"/>
        <w:rPr>
          <w:rFonts w:ascii="Bookman Old Style" w:hAnsi="Bookman Old Style"/>
          <w:i/>
          <w:iCs/>
        </w:rPr>
      </w:pPr>
      <w:r w:rsidRPr="00720219">
        <w:rPr>
          <w:rFonts w:ascii="Bookman Old Style" w:hAnsi="Bookman Old Style"/>
          <w:i/>
          <w:iCs/>
        </w:rPr>
        <w:t>Aggiungere il seguente articolo:</w:t>
      </w:r>
    </w:p>
    <w:p w14:paraId="33B8B2F4" w14:textId="77777777" w:rsidR="00796FC0" w:rsidRPr="00720219" w:rsidRDefault="00796FC0" w:rsidP="00796FC0">
      <w:pPr>
        <w:ind w:left="360"/>
        <w:rPr>
          <w:rFonts w:ascii="Bookman Old Style" w:hAnsi="Bookman Old Style"/>
          <w:i/>
          <w:iCs/>
        </w:rPr>
      </w:pPr>
    </w:p>
    <w:p w14:paraId="4FB5FC6D" w14:textId="77777777" w:rsidR="00796FC0" w:rsidRPr="00720219" w:rsidRDefault="00796FC0" w:rsidP="00796FC0">
      <w:pPr>
        <w:ind w:left="360"/>
        <w:jc w:val="center"/>
        <w:rPr>
          <w:rFonts w:ascii="Bookman Old Style" w:hAnsi="Bookman Old Style" w:cs="Arial"/>
          <w:b/>
          <w:bCs/>
          <w:kern w:val="0"/>
          <w14:ligatures w14:val="none"/>
        </w:rPr>
      </w:pPr>
      <w:r w:rsidRPr="00720219">
        <w:rPr>
          <w:rFonts w:ascii="Bookman Old Style" w:hAnsi="Bookman Old Style" w:cs="Arial"/>
          <w:b/>
          <w:bCs/>
          <w:kern w:val="0"/>
          <w14:ligatures w14:val="none"/>
        </w:rPr>
        <w:t>Art. XX</w:t>
      </w:r>
    </w:p>
    <w:p w14:paraId="13A1CDDF" w14:textId="77777777" w:rsidR="00796FC0" w:rsidRPr="00720219" w:rsidRDefault="00796FC0" w:rsidP="00796FC0">
      <w:pPr>
        <w:ind w:left="360"/>
        <w:jc w:val="center"/>
        <w:rPr>
          <w:rFonts w:ascii="Bookman Old Style" w:hAnsi="Bookman Old Style"/>
          <w:b/>
          <w:bCs/>
        </w:rPr>
      </w:pPr>
      <w:r w:rsidRPr="00720219">
        <w:rPr>
          <w:rFonts w:ascii="Bookman Old Style" w:hAnsi="Bookman Old Style"/>
          <w:b/>
          <w:bCs/>
        </w:rPr>
        <w:t>(Disposizioni in materia di rafforzamento della capacità amministrativa delle amministrazioni centrali titolari delle misure PNRR)</w:t>
      </w:r>
    </w:p>
    <w:p w14:paraId="4163A98C" w14:textId="77777777" w:rsidR="00796FC0" w:rsidRPr="00720219" w:rsidRDefault="00796FC0" w:rsidP="00796FC0">
      <w:pPr>
        <w:spacing w:after="0" w:line="240" w:lineRule="auto"/>
        <w:jc w:val="center"/>
        <w:rPr>
          <w:rFonts w:ascii="Bookman Old Style" w:hAnsi="Bookman Old Style"/>
          <w:b/>
          <w:bCs/>
        </w:rPr>
      </w:pPr>
    </w:p>
    <w:p w14:paraId="276C28EB" w14:textId="77777777" w:rsidR="00796FC0" w:rsidRPr="00720219" w:rsidRDefault="00796FC0" w:rsidP="00796FC0">
      <w:pPr>
        <w:spacing w:after="0" w:line="276" w:lineRule="auto"/>
        <w:jc w:val="both"/>
        <w:rPr>
          <w:rFonts w:ascii="Bookman Old Style" w:hAnsi="Bookman Old Style" w:cs="Arial"/>
          <w:bCs/>
          <w:i/>
          <w:iCs/>
          <w:shd w:val="clear" w:color="auto" w:fill="FFFFFF"/>
        </w:rPr>
      </w:pPr>
      <w:r w:rsidRPr="00720219">
        <w:rPr>
          <w:rFonts w:ascii="Bookman Old Style" w:hAnsi="Bookman Old Style" w:cs="Arial"/>
          <w:bCs/>
          <w:i/>
          <w:iCs/>
          <w:shd w:val="clear" w:color="auto" w:fill="FFFFFF"/>
        </w:rPr>
        <w:t>All’articolo 8, comma 1, del decreto-legge 24 febbraio 2023, n. 13 convertito, con modificazioni dalla Legge 21 aprile 2023, n. 41, sopprimere le parole “</w:t>
      </w:r>
      <w:r w:rsidRPr="00720219">
        <w:rPr>
          <w:rFonts w:ascii="Bookman Old Style" w:hAnsi="Bookman Old Style" w:cs="Arial"/>
          <w:bCs/>
          <w:shd w:val="clear" w:color="auto" w:fill="FFFFFF"/>
        </w:rPr>
        <w:t>31 dicembre 2026</w:t>
      </w:r>
      <w:r w:rsidRPr="00720219">
        <w:rPr>
          <w:rFonts w:ascii="Bookman Old Style" w:hAnsi="Bookman Old Style" w:cs="Arial"/>
          <w:bCs/>
          <w:i/>
          <w:iCs/>
          <w:shd w:val="clear" w:color="auto" w:fill="FFFFFF"/>
        </w:rPr>
        <w:t>” e sostituirle con le seguenti “</w:t>
      </w:r>
      <w:r w:rsidRPr="00720219">
        <w:rPr>
          <w:rFonts w:ascii="Bookman Old Style" w:hAnsi="Bookman Old Style" w:cs="Arial"/>
          <w:b/>
          <w:shd w:val="clear" w:color="auto" w:fill="FFFFFF"/>
        </w:rPr>
        <w:t>31 dicembre 2029</w:t>
      </w:r>
      <w:r w:rsidRPr="00720219">
        <w:rPr>
          <w:rFonts w:ascii="Bookman Old Style" w:hAnsi="Bookman Old Style" w:cs="Arial"/>
          <w:bCs/>
          <w:i/>
          <w:iCs/>
          <w:shd w:val="clear" w:color="auto" w:fill="FFFFFF"/>
        </w:rPr>
        <w:t>”</w:t>
      </w:r>
    </w:p>
    <w:p w14:paraId="7B6A76AA" w14:textId="77777777" w:rsidR="00796FC0" w:rsidRPr="00720219" w:rsidRDefault="00796FC0" w:rsidP="00796FC0">
      <w:pPr>
        <w:spacing w:after="0" w:line="276" w:lineRule="auto"/>
        <w:jc w:val="both"/>
        <w:rPr>
          <w:rFonts w:ascii="Bookman Old Style" w:hAnsi="Bookman Old Style" w:cs="Arial"/>
          <w:bCs/>
          <w:i/>
          <w:iCs/>
          <w:shd w:val="clear" w:color="auto" w:fill="FFFFFF"/>
        </w:rPr>
      </w:pPr>
    </w:p>
    <w:p w14:paraId="3E5759E9" w14:textId="77777777" w:rsidR="00796FC0" w:rsidRPr="00720219" w:rsidRDefault="00796FC0" w:rsidP="00796FC0">
      <w:pPr>
        <w:spacing w:after="0" w:line="276" w:lineRule="auto"/>
        <w:jc w:val="center"/>
        <w:rPr>
          <w:rFonts w:ascii="Bookman Old Style" w:hAnsi="Bookman Old Style" w:cs="Arial"/>
          <w:b/>
          <w:shd w:val="clear" w:color="auto" w:fill="FFFFFF"/>
        </w:rPr>
      </w:pPr>
      <w:r w:rsidRPr="00720219">
        <w:rPr>
          <w:rFonts w:ascii="Bookman Old Style" w:hAnsi="Bookman Old Style" w:cs="Arial"/>
          <w:b/>
          <w:shd w:val="clear" w:color="auto" w:fill="FFFFFF"/>
        </w:rPr>
        <w:t>Motivazione</w:t>
      </w:r>
    </w:p>
    <w:p w14:paraId="382106C1" w14:textId="77777777" w:rsidR="00796FC0" w:rsidRPr="00720219" w:rsidRDefault="00796FC0" w:rsidP="00796FC0">
      <w:pPr>
        <w:spacing w:after="0" w:line="276" w:lineRule="auto"/>
        <w:jc w:val="both"/>
        <w:rPr>
          <w:rFonts w:ascii="Bookman Old Style" w:hAnsi="Bookman Old Style" w:cs="Arial"/>
          <w:bCs/>
          <w:i/>
          <w:iCs/>
          <w:shd w:val="clear" w:color="auto" w:fill="FFFFFF"/>
        </w:rPr>
      </w:pPr>
      <w:r w:rsidRPr="00720219">
        <w:rPr>
          <w:rFonts w:ascii="Bookman Old Style" w:hAnsi="Bookman Old Style" w:cs="Arial"/>
          <w:bCs/>
          <w:i/>
          <w:iCs/>
          <w:shd w:val="clear" w:color="auto" w:fill="FFFFFF"/>
        </w:rPr>
        <w:t xml:space="preserve">L’emendamento è necessario per consentire a tutti i soggetti attuatori quanto già previsto dall’articolo 2 del </w:t>
      </w:r>
      <w:proofErr w:type="spellStart"/>
      <w:r w:rsidRPr="00720219">
        <w:rPr>
          <w:rFonts w:ascii="Bookman Old Style" w:hAnsi="Bookman Old Style" w:cs="Arial"/>
          <w:bCs/>
          <w:i/>
          <w:iCs/>
          <w:shd w:val="clear" w:color="auto" w:fill="FFFFFF"/>
        </w:rPr>
        <w:t>d.l.</w:t>
      </w:r>
      <w:proofErr w:type="spellEnd"/>
      <w:r w:rsidRPr="00720219">
        <w:rPr>
          <w:rFonts w:ascii="Bookman Old Style" w:hAnsi="Bookman Old Style" w:cs="Arial"/>
          <w:bCs/>
          <w:i/>
          <w:iCs/>
          <w:shd w:val="clear" w:color="auto" w:fill="FFFFFF"/>
        </w:rPr>
        <w:t xml:space="preserve"> 19/2026 per le amministrazioni centrali titolari, consentendo quindi, anche agli enti locali, la possibilità di prorogare fino al 31 dicembre 2029 il conferimento degli incarichi dirigenziali di cui all’art. 110, comma 1 del TUEL per la verifica e il corretto funzionamento delle attività inerenti all’attuazione delle misure del PNRR.</w:t>
      </w:r>
    </w:p>
    <w:p w14:paraId="63821231" w14:textId="77777777" w:rsidR="00796FC0" w:rsidRPr="00720219" w:rsidRDefault="00796FC0" w:rsidP="00A005EB">
      <w:pPr>
        <w:rPr>
          <w:rFonts w:ascii="Bookman Old Style" w:hAnsi="Bookman Old Style"/>
        </w:rPr>
      </w:pPr>
    </w:p>
    <w:bookmarkEnd w:id="0"/>
    <w:bookmarkEnd w:id="1"/>
    <w:p w14:paraId="3AB87AD0" w14:textId="77777777" w:rsidR="00085C0E" w:rsidRPr="00720219" w:rsidRDefault="00085C0E" w:rsidP="00B42FDD">
      <w:pPr>
        <w:autoSpaceDE w:val="0"/>
        <w:autoSpaceDN w:val="0"/>
        <w:adjustRightInd w:val="0"/>
        <w:spacing w:after="0" w:line="240" w:lineRule="auto"/>
        <w:jc w:val="both"/>
        <w:rPr>
          <w:rFonts w:ascii="Bookman Old Style" w:hAnsi="Bookman Old Style"/>
        </w:rPr>
      </w:pPr>
    </w:p>
    <w:p w14:paraId="43FD51DD" w14:textId="77777777" w:rsidR="00892879" w:rsidRPr="00720219" w:rsidRDefault="00892879" w:rsidP="00892879">
      <w:pPr>
        <w:keepNext/>
        <w:keepLines/>
        <w:numPr>
          <w:ilvl w:val="0"/>
          <w:numId w:val="2"/>
        </w:numPr>
        <w:spacing w:before="360" w:after="0" w:line="240" w:lineRule="auto"/>
        <w:jc w:val="both"/>
        <w:outlineLvl w:val="0"/>
        <w:rPr>
          <w:rFonts w:ascii="Bookman Old Style" w:eastAsiaTheme="majorEastAsia" w:hAnsi="Bookman Old Style" w:cstheme="majorBidi"/>
          <w:b/>
          <w:bCs/>
          <w:color w:val="0F4761" w:themeColor="accent1" w:themeShade="BF"/>
        </w:rPr>
      </w:pPr>
      <w:r w:rsidRPr="00720219">
        <w:rPr>
          <w:rFonts w:ascii="Bookman Old Style" w:eastAsiaTheme="majorEastAsia" w:hAnsi="Bookman Old Style" w:cstheme="majorBidi"/>
          <w:b/>
          <w:bCs/>
          <w:color w:val="0F4761" w:themeColor="accent1" w:themeShade="BF"/>
        </w:rPr>
        <w:t>Disposizioni in materia di trasporto rapido di massa</w:t>
      </w:r>
    </w:p>
    <w:p w14:paraId="683A6400" w14:textId="77777777" w:rsidR="00892879" w:rsidRPr="00720219" w:rsidRDefault="00892879" w:rsidP="00892879">
      <w:pPr>
        <w:spacing w:after="0" w:line="240" w:lineRule="auto"/>
        <w:rPr>
          <w:rFonts w:ascii="Bookman Old Style" w:hAnsi="Bookman Old Style" w:cs="Aptos"/>
          <w:kern w:val="0"/>
          <w14:ligatures w14:val="none"/>
        </w:rPr>
      </w:pPr>
    </w:p>
    <w:p w14:paraId="231B303D" w14:textId="77777777" w:rsidR="00892879" w:rsidRPr="00720219" w:rsidRDefault="00892879" w:rsidP="00892879">
      <w:pPr>
        <w:rPr>
          <w:rFonts w:ascii="Bookman Old Style" w:hAnsi="Bookman Old Style"/>
          <w:i/>
          <w:iCs/>
        </w:rPr>
      </w:pPr>
      <w:r w:rsidRPr="00720219">
        <w:rPr>
          <w:rFonts w:ascii="Bookman Old Style" w:hAnsi="Bookman Old Style"/>
          <w:i/>
          <w:iCs/>
        </w:rPr>
        <w:t>Aggiungere il seguente articolo:</w:t>
      </w:r>
    </w:p>
    <w:p w14:paraId="65165EA3" w14:textId="77777777" w:rsidR="00892879" w:rsidRPr="00720219" w:rsidRDefault="00892879" w:rsidP="00892879">
      <w:pPr>
        <w:pStyle w:val="Paragrafoelenco"/>
        <w:spacing w:after="0" w:line="240" w:lineRule="auto"/>
        <w:rPr>
          <w:rFonts w:ascii="Bookman Old Style" w:hAnsi="Bookman Old Style" w:cs="Aptos"/>
          <w:b/>
          <w:bCs/>
          <w:kern w:val="0"/>
          <w14:ligatures w14:val="none"/>
        </w:rPr>
      </w:pPr>
    </w:p>
    <w:p w14:paraId="2639822F" w14:textId="77777777" w:rsidR="00892879" w:rsidRPr="00720219" w:rsidRDefault="00892879" w:rsidP="00892879">
      <w:pPr>
        <w:pStyle w:val="Paragrafoelenco"/>
        <w:spacing w:after="0" w:line="240" w:lineRule="auto"/>
        <w:jc w:val="center"/>
        <w:rPr>
          <w:rFonts w:ascii="Bookman Old Style" w:hAnsi="Bookman Old Style" w:cs="Aptos"/>
          <w:b/>
          <w:bCs/>
          <w:i/>
          <w:iCs/>
          <w:kern w:val="0"/>
          <w14:ligatures w14:val="none"/>
        </w:rPr>
      </w:pPr>
      <w:r w:rsidRPr="00720219">
        <w:rPr>
          <w:rFonts w:ascii="Bookman Old Style" w:hAnsi="Bookman Old Style" w:cs="Aptos"/>
          <w:b/>
          <w:bCs/>
          <w:i/>
          <w:iCs/>
          <w:kern w:val="0"/>
          <w14:ligatures w14:val="none"/>
        </w:rPr>
        <w:t>XX</w:t>
      </w:r>
    </w:p>
    <w:p w14:paraId="07441F4B" w14:textId="77777777" w:rsidR="00892879" w:rsidRPr="00720219" w:rsidRDefault="00892879" w:rsidP="00892879">
      <w:pPr>
        <w:pStyle w:val="Paragrafoelenco"/>
        <w:spacing w:after="0" w:line="240" w:lineRule="auto"/>
        <w:jc w:val="center"/>
        <w:rPr>
          <w:rFonts w:ascii="Bookman Old Style" w:hAnsi="Bookman Old Style" w:cs="Aptos"/>
          <w:i/>
          <w:iCs/>
          <w:kern w:val="0"/>
          <w14:ligatures w14:val="none"/>
        </w:rPr>
      </w:pPr>
      <w:r w:rsidRPr="00720219">
        <w:rPr>
          <w:rFonts w:ascii="Bookman Old Style" w:hAnsi="Bookman Old Style" w:cs="Aptos"/>
          <w:b/>
          <w:bCs/>
          <w:i/>
          <w:iCs/>
          <w:kern w:val="0"/>
          <w14:ligatures w14:val="none"/>
        </w:rPr>
        <w:t>(Disposizioni in materia di trasporto rapido di massa e di manutenzione stradale delle province e delle città metropolitane)</w:t>
      </w:r>
    </w:p>
    <w:p w14:paraId="5B712808" w14:textId="77777777" w:rsidR="00892879" w:rsidRPr="00720219" w:rsidRDefault="00892879" w:rsidP="00892879">
      <w:pPr>
        <w:spacing w:after="0" w:line="240" w:lineRule="auto"/>
        <w:jc w:val="center"/>
        <w:rPr>
          <w:rFonts w:ascii="Bookman Old Style" w:hAnsi="Bookman Old Style" w:cs="Aptos"/>
          <w:b/>
          <w:bCs/>
          <w:i/>
          <w:iCs/>
          <w:kern w:val="0"/>
          <w14:ligatures w14:val="none"/>
        </w:rPr>
      </w:pPr>
    </w:p>
    <w:p w14:paraId="1F19A60E" w14:textId="77777777" w:rsidR="00892879" w:rsidRPr="00720219" w:rsidRDefault="00892879" w:rsidP="00892879">
      <w:pPr>
        <w:spacing w:after="0" w:line="240" w:lineRule="auto"/>
        <w:jc w:val="both"/>
        <w:rPr>
          <w:rFonts w:ascii="Bookman Old Style" w:hAnsi="Bookman Old Style" w:cs="Aptos"/>
          <w:kern w:val="0"/>
          <w14:ligatures w14:val="none"/>
        </w:rPr>
      </w:pPr>
      <w:r w:rsidRPr="00720219">
        <w:rPr>
          <w:rFonts w:ascii="Bookman Old Style" w:hAnsi="Bookman Old Style" w:cs="Aptos"/>
          <w:i/>
          <w:iCs/>
          <w:kern w:val="0"/>
          <w14:ligatures w14:val="none"/>
        </w:rPr>
        <w:t>Al decreto-legge 30 giugno 2025, n. 95 convertito con modificazioni dalla </w:t>
      </w:r>
      <w:hyperlink r:id="rId9" w:history="1">
        <w:r w:rsidRPr="00720219">
          <w:rPr>
            <w:rFonts w:ascii="Bookman Old Style" w:hAnsi="Bookman Old Style" w:cs="Aptos"/>
            <w:i/>
            <w:iCs/>
            <w:kern w:val="0"/>
            <w14:ligatures w14:val="none"/>
          </w:rPr>
          <w:t>Legge 8 agosto 2025, n. 118</w:t>
        </w:r>
      </w:hyperlink>
      <w:r w:rsidRPr="00720219">
        <w:rPr>
          <w:rFonts w:ascii="Bookman Old Style" w:hAnsi="Bookman Old Style" w:cs="Aptos"/>
          <w:i/>
          <w:iCs/>
          <w:kern w:val="0"/>
          <w14:ligatures w14:val="none"/>
        </w:rPr>
        <w:t>, all’art. 3, dopo il comma 1, aggiungere il seguente comma</w:t>
      </w:r>
      <w:r w:rsidRPr="00720219">
        <w:rPr>
          <w:rFonts w:ascii="Bookman Old Style" w:hAnsi="Bookman Old Style" w:cs="Aptos"/>
          <w:kern w:val="0"/>
          <w14:ligatures w14:val="none"/>
        </w:rPr>
        <w:t>:</w:t>
      </w:r>
    </w:p>
    <w:p w14:paraId="3604372F" w14:textId="77777777" w:rsidR="00892879" w:rsidRPr="00720219" w:rsidRDefault="00892879" w:rsidP="00892879">
      <w:pPr>
        <w:spacing w:after="0" w:line="240" w:lineRule="auto"/>
        <w:ind w:left="360"/>
        <w:rPr>
          <w:rFonts w:ascii="Bookman Old Style" w:hAnsi="Bookman Old Style" w:cs="Aptos"/>
          <w:kern w:val="0"/>
          <w14:ligatures w14:val="none"/>
        </w:rPr>
      </w:pPr>
    </w:p>
    <w:p w14:paraId="5AC5E695" w14:textId="77777777" w:rsidR="00892879" w:rsidRPr="00720219" w:rsidRDefault="00892879" w:rsidP="00892879">
      <w:pPr>
        <w:spacing w:after="0" w:line="240" w:lineRule="auto"/>
        <w:jc w:val="both"/>
        <w:rPr>
          <w:rFonts w:ascii="Bookman Old Style" w:hAnsi="Bookman Old Style" w:cs="Aptos"/>
          <w:kern w:val="0"/>
          <w14:ligatures w14:val="none"/>
        </w:rPr>
      </w:pPr>
      <w:r w:rsidRPr="00720219">
        <w:rPr>
          <w:rFonts w:ascii="Bookman Old Style" w:hAnsi="Bookman Old Style" w:cs="Aptos"/>
          <w:kern w:val="0"/>
          <w14:ligatures w14:val="none"/>
        </w:rPr>
        <w:t>1-bis. “Ai fini di accelerare le procedure di assegnazione ai Comuni e Città Metropolitane e garantire massima risposta al fabbisogno di infrastrutture per i servizi di trasporto rapido di massa su tutto il territorio nazionale, le Regioni si avvalgono anche delle graduatorie del Ministero</w:t>
      </w:r>
      <w:r w:rsidRPr="00720219">
        <w:rPr>
          <w:rFonts w:ascii="Bookman Old Style" w:hAnsi="Bookman Old Style" w:cs="Aptos"/>
          <w:i/>
          <w:iCs/>
          <w:kern w:val="0"/>
          <w14:ligatures w14:val="none"/>
        </w:rPr>
        <w:t xml:space="preserve"> </w:t>
      </w:r>
      <w:r w:rsidRPr="00720219">
        <w:rPr>
          <w:rFonts w:ascii="Bookman Old Style" w:hAnsi="Bookman Old Style" w:cs="Aptos"/>
          <w:kern w:val="0"/>
          <w14:ligatures w14:val="none"/>
        </w:rPr>
        <w:t xml:space="preserve">delle Infrastrutture e Trasporti, derivanti dalle  procedure ad evidenza pubblica di cui alle Linee guida operative per la valutazione degli investimenti nel settore del Trasporto Rapido di Massa (TRM), adottate con Decreto Ministeriale del 21 ottobre 2022,”.  </w:t>
      </w:r>
    </w:p>
    <w:p w14:paraId="752BBA2B" w14:textId="77777777" w:rsidR="00892879" w:rsidRPr="00720219" w:rsidRDefault="00892879" w:rsidP="00892879">
      <w:pPr>
        <w:spacing w:after="0" w:line="240" w:lineRule="auto"/>
        <w:ind w:left="360"/>
        <w:rPr>
          <w:rFonts w:ascii="Bookman Old Style" w:hAnsi="Bookman Old Style" w:cs="Aptos"/>
          <w:kern w:val="0"/>
          <w14:ligatures w14:val="none"/>
        </w:rPr>
      </w:pPr>
    </w:p>
    <w:p w14:paraId="2991EDDF" w14:textId="77777777" w:rsidR="00892879" w:rsidRPr="00720219" w:rsidRDefault="00892879" w:rsidP="00892879">
      <w:pPr>
        <w:pStyle w:val="Paragrafoelenco"/>
        <w:spacing w:after="0" w:line="240" w:lineRule="auto"/>
        <w:jc w:val="center"/>
        <w:rPr>
          <w:rFonts w:ascii="Bookman Old Style" w:hAnsi="Bookman Old Style" w:cs="Aptos"/>
          <w:b/>
          <w:bCs/>
          <w:kern w:val="0"/>
          <w14:ligatures w14:val="none"/>
        </w:rPr>
      </w:pPr>
      <w:r w:rsidRPr="00720219">
        <w:rPr>
          <w:rFonts w:ascii="Bookman Old Style" w:hAnsi="Bookman Old Style" w:cs="Aptos"/>
          <w:b/>
          <w:bCs/>
          <w:kern w:val="0"/>
          <w14:ligatures w14:val="none"/>
        </w:rPr>
        <w:t>Motivazione</w:t>
      </w:r>
    </w:p>
    <w:p w14:paraId="5E5F4D5D" w14:textId="77777777" w:rsidR="00892879" w:rsidRPr="00720219" w:rsidRDefault="00892879" w:rsidP="00892879">
      <w:pPr>
        <w:pStyle w:val="Paragrafoelenco"/>
        <w:spacing w:after="0" w:line="240" w:lineRule="auto"/>
        <w:rPr>
          <w:rFonts w:ascii="Bookman Old Style" w:hAnsi="Bookman Old Style" w:cs="Aptos"/>
          <w:b/>
          <w:bCs/>
          <w:kern w:val="0"/>
          <w14:ligatures w14:val="none"/>
        </w:rPr>
      </w:pPr>
    </w:p>
    <w:p w14:paraId="0927E253" w14:textId="77777777" w:rsidR="00892879" w:rsidRPr="00720219" w:rsidRDefault="00892879" w:rsidP="00892879">
      <w:pPr>
        <w:spacing w:after="0" w:line="240" w:lineRule="auto"/>
        <w:jc w:val="both"/>
        <w:rPr>
          <w:rFonts w:ascii="Bookman Old Style" w:hAnsi="Bookman Old Style" w:cs="Aptos"/>
          <w:i/>
          <w:iCs/>
          <w:kern w:val="0"/>
          <w14:ligatures w14:val="none"/>
        </w:rPr>
      </w:pPr>
      <w:r w:rsidRPr="00720219">
        <w:rPr>
          <w:rFonts w:ascii="Bookman Old Style" w:hAnsi="Bookman Old Style" w:cs="Aptos"/>
          <w:i/>
          <w:iCs/>
          <w:kern w:val="0"/>
          <w14:ligatures w14:val="none"/>
        </w:rPr>
        <w:t xml:space="preserve">L’emendamento si pone l’obiettivo di velocizzare e armonizzare le procedure selettive di progettualità dedicata al trasporto rapido di massa, consentendo alle Regioni che hanno risorse per l’attuazione di quella tipologia di intervento, tipicamente su fondi FER, di </w:t>
      </w:r>
      <w:r w:rsidRPr="00720219">
        <w:rPr>
          <w:rFonts w:ascii="Bookman Old Style" w:hAnsi="Bookman Old Style" w:cs="Aptos"/>
          <w:i/>
          <w:iCs/>
          <w:kern w:val="0"/>
          <w14:ligatures w14:val="none"/>
        </w:rPr>
        <w:lastRenderedPageBreak/>
        <w:t xml:space="preserve">avvalersi delle graduatorie e delle procedure selettive del MIT, sia per </w:t>
      </w:r>
      <w:r w:rsidRPr="00720219">
        <w:rPr>
          <w:rFonts w:ascii="Bookman Old Style" w:hAnsi="Bookman Old Style" w:cs="Aptos"/>
          <w:b/>
          <w:bCs/>
          <w:i/>
          <w:iCs/>
          <w:kern w:val="0"/>
          <w14:ligatures w14:val="none"/>
        </w:rPr>
        <w:t>garantire massima qualità e univocità nella selezione, sia per incrementare la copertura del Fondo previsto dal comma 1, oggi con una dotazione inferiore alla domanda di progetti</w:t>
      </w:r>
      <w:r w:rsidRPr="00720219">
        <w:rPr>
          <w:rFonts w:ascii="Bookman Old Style" w:hAnsi="Bookman Old Style" w:cs="Aptos"/>
          <w:i/>
          <w:iCs/>
          <w:kern w:val="0"/>
          <w14:ligatures w14:val="none"/>
        </w:rPr>
        <w:t xml:space="preserve"> proveniente dal territorio, sia comuni che città metropolitane. </w:t>
      </w:r>
    </w:p>
    <w:p w14:paraId="5A222F17" w14:textId="77777777" w:rsidR="00892879" w:rsidRPr="00720219" w:rsidRDefault="00892879" w:rsidP="00892879">
      <w:pPr>
        <w:spacing w:after="0" w:line="240" w:lineRule="auto"/>
        <w:jc w:val="both"/>
        <w:rPr>
          <w:rFonts w:ascii="Bookman Old Style" w:hAnsi="Bookman Old Style" w:cs="Aptos"/>
          <w:i/>
          <w:iCs/>
          <w:kern w:val="0"/>
          <w14:ligatures w14:val="none"/>
        </w:rPr>
      </w:pPr>
    </w:p>
    <w:p w14:paraId="69A754D3" w14:textId="7718CF7A" w:rsidR="00F74C28" w:rsidRPr="00720219" w:rsidRDefault="00F74C28" w:rsidP="00F74C28">
      <w:pPr>
        <w:keepNext/>
        <w:keepLines/>
        <w:numPr>
          <w:ilvl w:val="0"/>
          <w:numId w:val="2"/>
        </w:numPr>
        <w:spacing w:before="360" w:after="80" w:line="256" w:lineRule="auto"/>
        <w:jc w:val="both"/>
        <w:outlineLvl w:val="0"/>
        <w:rPr>
          <w:rFonts w:ascii="Bookman Old Style" w:eastAsiaTheme="majorEastAsia" w:hAnsi="Bookman Old Style" w:cstheme="majorBidi"/>
          <w:b/>
          <w:bCs/>
          <w:color w:val="0F4761" w:themeColor="accent1" w:themeShade="BF"/>
        </w:rPr>
      </w:pPr>
      <w:r w:rsidRPr="00720219">
        <w:rPr>
          <w:rFonts w:ascii="Bookman Old Style" w:eastAsiaTheme="majorEastAsia" w:hAnsi="Bookman Old Style" w:cstheme="majorBidi"/>
          <w:b/>
          <w:bCs/>
          <w:color w:val="0F4761" w:themeColor="accent1" w:themeShade="BF"/>
        </w:rPr>
        <w:t>Ponti Po Città metropolitane</w:t>
      </w:r>
      <w:r w:rsidR="00986521">
        <w:rPr>
          <w:rFonts w:ascii="Bookman Old Style" w:eastAsiaTheme="majorEastAsia" w:hAnsi="Bookman Old Style" w:cstheme="majorBidi"/>
          <w:b/>
          <w:bCs/>
          <w:color w:val="0F4761" w:themeColor="accent1" w:themeShade="BF"/>
        </w:rPr>
        <w:t xml:space="preserve"> e </w:t>
      </w:r>
      <w:r w:rsidR="009E7075">
        <w:rPr>
          <w:rFonts w:ascii="Bookman Old Style" w:eastAsiaTheme="majorEastAsia" w:hAnsi="Bookman Old Style" w:cstheme="majorBidi"/>
          <w:b/>
          <w:bCs/>
          <w:color w:val="0F4761" w:themeColor="accent1" w:themeShade="BF"/>
        </w:rPr>
        <w:t>P</w:t>
      </w:r>
      <w:r w:rsidR="00986521" w:rsidRPr="00720219">
        <w:rPr>
          <w:rFonts w:ascii="Bookman Old Style" w:eastAsiaTheme="majorEastAsia" w:hAnsi="Bookman Old Style" w:cstheme="majorBidi"/>
          <w:b/>
          <w:bCs/>
          <w:color w:val="0F4761" w:themeColor="accent1" w:themeShade="BF"/>
        </w:rPr>
        <w:t>rovince</w:t>
      </w:r>
    </w:p>
    <w:p w14:paraId="536E0602" w14:textId="77777777" w:rsidR="00F74C28" w:rsidRPr="00720219" w:rsidRDefault="00F74C28" w:rsidP="00F74C28">
      <w:pPr>
        <w:jc w:val="center"/>
        <w:rPr>
          <w:rFonts w:ascii="Bookman Old Style" w:hAnsi="Bookman Old Style"/>
        </w:rPr>
      </w:pPr>
    </w:p>
    <w:p w14:paraId="3EE94F05" w14:textId="77777777" w:rsidR="00F74C28" w:rsidRPr="00720219" w:rsidRDefault="00F74C28" w:rsidP="00F74C28">
      <w:pPr>
        <w:rPr>
          <w:rFonts w:ascii="Bookman Old Style" w:hAnsi="Bookman Old Style"/>
          <w:i/>
          <w:iCs/>
        </w:rPr>
      </w:pPr>
      <w:r w:rsidRPr="00720219">
        <w:rPr>
          <w:rFonts w:ascii="Bookman Old Style" w:hAnsi="Bookman Old Style"/>
          <w:i/>
          <w:iCs/>
        </w:rPr>
        <w:t>All’arti 1, dopo il comma 3, inserire il seguente:</w:t>
      </w:r>
    </w:p>
    <w:p w14:paraId="0B4B63D1" w14:textId="77777777" w:rsidR="00F74C28" w:rsidRPr="00720219" w:rsidRDefault="00F74C28" w:rsidP="00F74C28">
      <w:pPr>
        <w:autoSpaceDE w:val="0"/>
        <w:autoSpaceDN w:val="0"/>
        <w:adjustRightInd w:val="0"/>
        <w:spacing w:after="0" w:line="240" w:lineRule="auto"/>
        <w:ind w:left="360"/>
        <w:contextualSpacing/>
        <w:jc w:val="both"/>
        <w:rPr>
          <w:rFonts w:ascii="Bookman Old Style" w:hAnsi="Bookman Old Style" w:cs="PalatinoLinotype"/>
          <w:kern w:val="0"/>
          <w:highlight w:val="yellow"/>
        </w:rPr>
      </w:pPr>
    </w:p>
    <w:p w14:paraId="6640FB6D" w14:textId="77777777" w:rsidR="00F74C28" w:rsidRPr="00720219" w:rsidRDefault="00F74C28" w:rsidP="00F74C28">
      <w:pPr>
        <w:autoSpaceDE w:val="0"/>
        <w:autoSpaceDN w:val="0"/>
        <w:adjustRightInd w:val="0"/>
        <w:spacing w:after="0" w:line="240" w:lineRule="auto"/>
        <w:ind w:left="360"/>
        <w:contextualSpacing/>
        <w:jc w:val="both"/>
        <w:rPr>
          <w:rFonts w:ascii="Bookman Old Style" w:hAnsi="Bookman Old Style"/>
        </w:rPr>
      </w:pPr>
      <w:r w:rsidRPr="00720219">
        <w:rPr>
          <w:rFonts w:ascii="Bookman Old Style" w:hAnsi="Bookman Old Style" w:cs="PalatinoLinotype"/>
          <w:kern w:val="0"/>
        </w:rPr>
        <w:t>3-bis. All’art. 7, comma 4-duodecies, del D.L., 27 dicembre 2024, n. 202, convertito con L. 21 febbraio 2025, n. 15, sostituire le parole “entro il 30 settembre 2026” con le seguenti “</w:t>
      </w:r>
      <w:r w:rsidRPr="00720219">
        <w:rPr>
          <w:rFonts w:ascii="Bookman Old Style" w:hAnsi="Bookman Old Style"/>
        </w:rPr>
        <w:t>entro e non oltre 12 mesi dalla pubblicazione del decreto che definisce l'elenco degli interventi che possono accedere all'erogazione dei finanziamenti”</w:t>
      </w:r>
    </w:p>
    <w:p w14:paraId="65FA6EC5" w14:textId="77777777" w:rsidR="00F74C28" w:rsidRPr="00720219" w:rsidRDefault="00F74C28" w:rsidP="00F74C28">
      <w:pPr>
        <w:autoSpaceDE w:val="0"/>
        <w:autoSpaceDN w:val="0"/>
        <w:adjustRightInd w:val="0"/>
        <w:spacing w:after="0" w:line="240" w:lineRule="auto"/>
        <w:jc w:val="both"/>
        <w:rPr>
          <w:rFonts w:ascii="Bookman Old Style" w:hAnsi="Bookman Old Style"/>
        </w:rPr>
      </w:pPr>
    </w:p>
    <w:p w14:paraId="5378642A" w14:textId="77777777" w:rsidR="00F74C28" w:rsidRPr="00720219" w:rsidRDefault="00F74C28" w:rsidP="00F74C28">
      <w:pPr>
        <w:autoSpaceDE w:val="0"/>
        <w:autoSpaceDN w:val="0"/>
        <w:adjustRightInd w:val="0"/>
        <w:spacing w:after="0" w:line="240" w:lineRule="auto"/>
        <w:jc w:val="center"/>
        <w:rPr>
          <w:rFonts w:ascii="Bookman Old Style" w:hAnsi="Bookman Old Style"/>
          <w:b/>
          <w:bCs/>
        </w:rPr>
      </w:pPr>
      <w:r w:rsidRPr="00720219">
        <w:rPr>
          <w:rFonts w:ascii="Bookman Old Style" w:hAnsi="Bookman Old Style"/>
          <w:b/>
          <w:bCs/>
        </w:rPr>
        <w:t>Motivazione</w:t>
      </w:r>
    </w:p>
    <w:p w14:paraId="4CA78EFA" w14:textId="77777777" w:rsidR="00F74C28" w:rsidRPr="00720219" w:rsidRDefault="00F74C28" w:rsidP="00F74C28">
      <w:pPr>
        <w:autoSpaceDE w:val="0"/>
        <w:autoSpaceDN w:val="0"/>
        <w:adjustRightInd w:val="0"/>
        <w:spacing w:after="0" w:line="240" w:lineRule="auto"/>
        <w:jc w:val="center"/>
        <w:rPr>
          <w:rFonts w:ascii="Bookman Old Style" w:hAnsi="Bookman Old Style"/>
          <w:b/>
          <w:bCs/>
        </w:rPr>
      </w:pPr>
    </w:p>
    <w:p w14:paraId="5324DFFD" w14:textId="77777777" w:rsidR="00F74C28" w:rsidRPr="00720219" w:rsidRDefault="00F74C28" w:rsidP="00F74C28">
      <w:pPr>
        <w:autoSpaceDE w:val="0"/>
        <w:autoSpaceDN w:val="0"/>
        <w:adjustRightInd w:val="0"/>
        <w:spacing w:after="0" w:line="240" w:lineRule="auto"/>
        <w:jc w:val="both"/>
        <w:rPr>
          <w:rFonts w:ascii="Bookman Old Style" w:hAnsi="Bookman Old Style"/>
          <w:i/>
          <w:iCs/>
        </w:rPr>
      </w:pPr>
      <w:r w:rsidRPr="00720219">
        <w:rPr>
          <w:rFonts w:ascii="Bookman Old Style" w:hAnsi="Bookman Old Style"/>
          <w:i/>
          <w:iCs/>
        </w:rPr>
        <w:t xml:space="preserve">L’art. 7, comma 4-duodecies, del D.L., 27 dicembre 2024, n. 202, convertito con L. 21 febbraio 2025, n. 15 prevede la possibilità di finanziare interventi di messa in sicurezza dei Ponti sul Fiume PO di Province e Città Metropolitane a seguito di apposita manifestazione di interesse da parte degli enti interessati. </w:t>
      </w:r>
    </w:p>
    <w:p w14:paraId="48B1DE93" w14:textId="77777777" w:rsidR="00F74C28" w:rsidRPr="00720219" w:rsidRDefault="00F74C28" w:rsidP="00F74C28">
      <w:pPr>
        <w:autoSpaceDE w:val="0"/>
        <w:autoSpaceDN w:val="0"/>
        <w:adjustRightInd w:val="0"/>
        <w:spacing w:after="0" w:line="240" w:lineRule="auto"/>
        <w:jc w:val="both"/>
        <w:rPr>
          <w:rFonts w:ascii="Bookman Old Style" w:hAnsi="Bookman Old Style"/>
          <w:i/>
          <w:iCs/>
        </w:rPr>
      </w:pPr>
    </w:p>
    <w:p w14:paraId="6AB49C4B" w14:textId="77777777" w:rsidR="00F74C28" w:rsidRPr="00720219" w:rsidRDefault="00F74C28" w:rsidP="00F74C28">
      <w:pPr>
        <w:autoSpaceDE w:val="0"/>
        <w:autoSpaceDN w:val="0"/>
        <w:adjustRightInd w:val="0"/>
        <w:spacing w:after="0" w:line="240" w:lineRule="auto"/>
        <w:jc w:val="both"/>
        <w:rPr>
          <w:rFonts w:ascii="Bookman Old Style" w:hAnsi="Bookman Old Style"/>
          <w:i/>
          <w:iCs/>
        </w:rPr>
      </w:pPr>
      <w:r w:rsidRPr="00720219">
        <w:rPr>
          <w:rFonts w:ascii="Bookman Old Style" w:hAnsi="Bookman Old Style"/>
          <w:i/>
          <w:iCs/>
        </w:rPr>
        <w:t>A seguito della espressione della manifestazione di interesse, entro il mese di aprile 2025 doveva essere pubblicato il provvedimento di autorizzazione degli interventi da finanziare. Nonostante tale previsione, non risulta ancora pubblicato il decreto di autorizzazione degli interventi, per cui gli enti interessati non hanno ancora potuto avviare le complesse procedure di gara, per le quali è in vigore il termine per l’aggiudicazione dei lavori al 30 settembre 2026.</w:t>
      </w:r>
    </w:p>
    <w:p w14:paraId="2DDCE2DB" w14:textId="77777777" w:rsidR="00F74C28" w:rsidRPr="00720219" w:rsidRDefault="00F74C28" w:rsidP="00F74C28">
      <w:pPr>
        <w:autoSpaceDE w:val="0"/>
        <w:autoSpaceDN w:val="0"/>
        <w:adjustRightInd w:val="0"/>
        <w:spacing w:after="0" w:line="240" w:lineRule="auto"/>
        <w:jc w:val="both"/>
        <w:rPr>
          <w:rFonts w:ascii="Bookman Old Style" w:hAnsi="Bookman Old Style"/>
          <w:i/>
          <w:iCs/>
        </w:rPr>
      </w:pPr>
    </w:p>
    <w:p w14:paraId="0DF7BDD5" w14:textId="77777777" w:rsidR="00F74C28" w:rsidRPr="00720219" w:rsidRDefault="00F74C28" w:rsidP="00F74C28">
      <w:pPr>
        <w:autoSpaceDE w:val="0"/>
        <w:autoSpaceDN w:val="0"/>
        <w:adjustRightInd w:val="0"/>
        <w:spacing w:after="0" w:line="240" w:lineRule="auto"/>
        <w:jc w:val="both"/>
        <w:rPr>
          <w:rFonts w:ascii="Bookman Old Style" w:hAnsi="Bookman Old Style"/>
          <w:i/>
          <w:iCs/>
        </w:rPr>
      </w:pPr>
      <w:r w:rsidRPr="00720219">
        <w:rPr>
          <w:rFonts w:ascii="Bookman Old Style" w:hAnsi="Bookman Old Style"/>
          <w:i/>
          <w:iCs/>
        </w:rPr>
        <w:t>L’emendamento è quindi finalizzato a posticipare il termine per l’aggiudicazione dei lavori per consentire agli enti di espletare correttamente le procedure di gara, sempre che in tempi rapidi avvenga la pubblicazione del provvedimento di autorizzazione al finanziamento degli interventi.</w:t>
      </w:r>
    </w:p>
    <w:p w14:paraId="743A58C9" w14:textId="77777777" w:rsidR="00F74C28" w:rsidRPr="00720219" w:rsidRDefault="00F74C28" w:rsidP="00F74C28">
      <w:pPr>
        <w:autoSpaceDE w:val="0"/>
        <w:autoSpaceDN w:val="0"/>
        <w:adjustRightInd w:val="0"/>
        <w:spacing w:after="0" w:line="240" w:lineRule="auto"/>
        <w:jc w:val="both"/>
        <w:rPr>
          <w:rFonts w:ascii="Bookman Old Style" w:hAnsi="Bookman Old Style"/>
        </w:rPr>
      </w:pPr>
    </w:p>
    <w:p w14:paraId="79B23CE1" w14:textId="77777777" w:rsidR="009E7075" w:rsidRPr="00720219" w:rsidRDefault="009E7075" w:rsidP="009E7075">
      <w:pPr>
        <w:jc w:val="both"/>
        <w:rPr>
          <w:rFonts w:ascii="Bookman Old Style" w:hAnsi="Bookman Old Style"/>
          <w:i/>
          <w:iCs/>
        </w:rPr>
      </w:pPr>
    </w:p>
    <w:p w14:paraId="03903B97" w14:textId="527D7201" w:rsidR="002339DB" w:rsidRPr="002339DB" w:rsidRDefault="002339DB" w:rsidP="002339DB">
      <w:pPr>
        <w:pStyle w:val="Paragrafoelenco"/>
        <w:keepNext/>
        <w:keepLines/>
        <w:numPr>
          <w:ilvl w:val="0"/>
          <w:numId w:val="2"/>
        </w:numPr>
        <w:spacing w:after="80" w:line="256" w:lineRule="auto"/>
        <w:jc w:val="both"/>
        <w:outlineLvl w:val="2"/>
        <w:rPr>
          <w:rFonts w:ascii="Bookman Old Style" w:eastAsiaTheme="majorEastAsia" w:hAnsi="Bookman Old Style" w:cstheme="majorBidi"/>
          <w:b/>
          <w:bCs/>
          <w:color w:val="0F4761" w:themeColor="accent1" w:themeShade="BF"/>
        </w:rPr>
      </w:pPr>
      <w:bookmarkStart w:id="3" w:name="_Toc233997937"/>
      <w:r w:rsidRPr="002339DB">
        <w:rPr>
          <w:rFonts w:ascii="Bookman Old Style" w:eastAsiaTheme="majorEastAsia" w:hAnsi="Bookman Old Style" w:cstheme="majorBidi"/>
          <w:b/>
          <w:bCs/>
          <w:color w:val="0F4761" w:themeColor="accent1" w:themeShade="BF"/>
        </w:rPr>
        <w:t>Estensione dei massimi tariffari dell’imposta di soggiorno ai Comuni capoluogo di regione e di città metropolitane</w:t>
      </w:r>
      <w:bookmarkEnd w:id="3"/>
      <w:r w:rsidRPr="002339DB">
        <w:rPr>
          <w:rFonts w:ascii="Bookman Old Style" w:eastAsiaTheme="majorEastAsia" w:hAnsi="Bookman Old Style" w:cstheme="majorBidi"/>
          <w:b/>
          <w:bCs/>
          <w:color w:val="0F4761" w:themeColor="accent1" w:themeShade="BF"/>
        </w:rPr>
        <w:t xml:space="preserve"> </w:t>
      </w:r>
    </w:p>
    <w:p w14:paraId="4F4AC86D" w14:textId="77777777" w:rsidR="002339DB" w:rsidRDefault="002339DB" w:rsidP="002339DB">
      <w:pPr>
        <w:spacing w:after="80" w:line="256" w:lineRule="auto"/>
        <w:jc w:val="both"/>
        <w:rPr>
          <w:rFonts w:ascii="Bookman Old Style" w:eastAsia="Calibri" w:hAnsi="Bookman Old Style" w:cs="Times New Roman"/>
        </w:rPr>
      </w:pPr>
      <w:r>
        <w:rPr>
          <w:rFonts w:ascii="Bookman Old Style" w:eastAsia="Calibri" w:hAnsi="Bookman Old Style" w:cs="Times New Roman"/>
        </w:rPr>
        <w:t>All’articolo 4 del decreto legislativo 14 marzo 2011, n. 23, dopo il comma 1-ter è inserito il seguente:</w:t>
      </w:r>
    </w:p>
    <w:p w14:paraId="02F7DCC3" w14:textId="77777777" w:rsidR="002339DB" w:rsidRDefault="002339DB" w:rsidP="002339DB">
      <w:pPr>
        <w:spacing w:after="80" w:line="256" w:lineRule="auto"/>
        <w:jc w:val="both"/>
        <w:rPr>
          <w:rFonts w:ascii="Bookman Old Style" w:eastAsia="Calibri" w:hAnsi="Bookman Old Style" w:cs="Times New Roman"/>
        </w:rPr>
      </w:pPr>
      <w:r>
        <w:rPr>
          <w:rFonts w:ascii="Bookman Old Style" w:eastAsia="Calibri" w:hAnsi="Bookman Old Style" w:cs="Times New Roman"/>
        </w:rPr>
        <w:t>«1-quater. Nei comuni capoluogo di regione e nei comuni capoluogo di città metropolitana, in considerazione delle maggiori esigenze connesse ai flussi turistici, ai servizi pubblici locali e alla valorizzazione del territorio, l’imposta di cui al presente articolo può essere applicata fino all’importo massimo di cui all’articolo 14, comma 16, lettera e), del decreto-legge 31 maggio 2010, n. 78, convertito, con modificazioni, dalla legge 30 luglio 2010, n. 122.».</w:t>
      </w:r>
    </w:p>
    <w:p w14:paraId="79DCCC2D" w14:textId="77777777" w:rsidR="002339DB" w:rsidRDefault="002339DB" w:rsidP="002339DB">
      <w:pPr>
        <w:spacing w:after="80" w:line="256" w:lineRule="auto"/>
        <w:jc w:val="center"/>
        <w:rPr>
          <w:rFonts w:ascii="Bookman Old Style" w:eastAsia="Calibri" w:hAnsi="Bookman Old Style" w:cs="Times New Roman"/>
          <w:b/>
          <w:bCs/>
        </w:rPr>
      </w:pPr>
      <w:r>
        <w:rPr>
          <w:rFonts w:ascii="Bookman Old Style" w:eastAsia="Calibri" w:hAnsi="Bookman Old Style" w:cs="Times New Roman"/>
          <w:b/>
          <w:bCs/>
        </w:rPr>
        <w:t>Motivazione</w:t>
      </w:r>
    </w:p>
    <w:p w14:paraId="2691C20D" w14:textId="77777777" w:rsidR="002339DB" w:rsidRDefault="002339DB" w:rsidP="002339DB">
      <w:pPr>
        <w:spacing w:after="80" w:line="256" w:lineRule="auto"/>
        <w:jc w:val="both"/>
        <w:rPr>
          <w:rFonts w:ascii="Bookman Old Style" w:eastAsia="Calibri" w:hAnsi="Bookman Old Style" w:cs="Times New Roman"/>
          <w:i/>
          <w:iCs/>
        </w:rPr>
      </w:pPr>
      <w:r>
        <w:rPr>
          <w:rFonts w:ascii="Bookman Old Style" w:eastAsia="Calibri" w:hAnsi="Bookman Old Style" w:cs="Times New Roman"/>
          <w:i/>
          <w:iCs/>
        </w:rPr>
        <w:t>La disposizione è finalizzata a semplificare e rendere maggiormente uniforme la disciplina dell’imposta di soggiorno applicabile nei comuni capoluogo di regione e di città metropolitana, eliminando il requisito attualmente previsto del rapporto tra presenze turistiche e popolazione residente ai fini dell’applicazione dell’importo massimo dell’imposta.</w:t>
      </w:r>
    </w:p>
    <w:p w14:paraId="40CE4643" w14:textId="77777777" w:rsidR="002339DB" w:rsidRDefault="002339DB" w:rsidP="002339DB">
      <w:pPr>
        <w:spacing w:after="80" w:line="256" w:lineRule="auto"/>
        <w:jc w:val="both"/>
        <w:rPr>
          <w:rFonts w:ascii="Bookman Old Style" w:eastAsia="Calibri" w:hAnsi="Bookman Old Style" w:cs="Times New Roman"/>
          <w:i/>
          <w:iCs/>
        </w:rPr>
      </w:pPr>
      <w:r>
        <w:rPr>
          <w:rFonts w:ascii="Bookman Old Style" w:eastAsia="Calibri" w:hAnsi="Bookman Old Style" w:cs="Times New Roman"/>
          <w:i/>
          <w:iCs/>
        </w:rPr>
        <w:lastRenderedPageBreak/>
        <w:t xml:space="preserve">L’attuale meccanismo, fondato sul parametro delle presenze turistiche superiori a venti volte il numero dei residenti, presenta infatti elementi di rigidità applicativa e determina disparità tra enti territoriali che, pur sostenendo rilevanti oneri connessi ai flussi turistici, non raggiungono la soglia prevista dalla normativa vigente. </w:t>
      </w:r>
    </w:p>
    <w:p w14:paraId="446A5480" w14:textId="77777777" w:rsidR="002339DB" w:rsidRDefault="002339DB" w:rsidP="002339DB">
      <w:pPr>
        <w:spacing w:after="80" w:line="256" w:lineRule="auto"/>
        <w:jc w:val="both"/>
        <w:rPr>
          <w:rFonts w:ascii="Bookman Old Style" w:eastAsia="Calibri" w:hAnsi="Bookman Old Style" w:cs="Times New Roman"/>
          <w:i/>
          <w:iCs/>
        </w:rPr>
      </w:pPr>
      <w:r>
        <w:rPr>
          <w:rFonts w:ascii="Bookman Old Style" w:eastAsia="Calibri" w:hAnsi="Bookman Old Style" w:cs="Times New Roman"/>
          <w:i/>
          <w:iCs/>
        </w:rPr>
        <w:t xml:space="preserve">L’adozione della modifica appare urgente per consentire ai Comuni interessati </w:t>
      </w:r>
      <w:r>
        <w:rPr>
          <w:rFonts w:ascii="Bookman Old Style" w:hAnsi="Bookman Old Style"/>
          <w:i/>
          <w:iCs/>
        </w:rPr>
        <w:t>l’ordinata programmazione di bilancio per il 2027</w:t>
      </w:r>
    </w:p>
    <w:p w14:paraId="1CD3DB9B" w14:textId="0332A015" w:rsidR="002339DB" w:rsidRDefault="002339DB" w:rsidP="002339DB">
      <w:pPr>
        <w:rPr>
          <w:rFonts w:ascii="Bookman Old Style" w:eastAsia="Times New Roman" w:hAnsi="Bookman Old Style" w:cs="Times New Roman"/>
          <w:b/>
          <w:bCs/>
          <w:color w:val="2F5496"/>
        </w:rPr>
      </w:pPr>
    </w:p>
    <w:p w14:paraId="069C7CCA" w14:textId="28D9A7E9" w:rsidR="002339DB" w:rsidRDefault="002339DB" w:rsidP="002339DB">
      <w:pPr>
        <w:pStyle w:val="Paragrafoelenco"/>
        <w:keepNext/>
        <w:keepLines/>
        <w:numPr>
          <w:ilvl w:val="0"/>
          <w:numId w:val="2"/>
        </w:numPr>
        <w:spacing w:after="80" w:line="256" w:lineRule="auto"/>
        <w:outlineLvl w:val="2"/>
        <w:rPr>
          <w:rFonts w:ascii="Bookman Old Style" w:eastAsiaTheme="majorEastAsia" w:hAnsi="Bookman Old Style" w:cstheme="majorBidi"/>
          <w:b/>
          <w:bCs/>
          <w:color w:val="0F4761" w:themeColor="accent1" w:themeShade="BF"/>
        </w:rPr>
      </w:pPr>
      <w:bookmarkStart w:id="4" w:name="_Toc233997938"/>
      <w:r w:rsidRPr="002339DB">
        <w:rPr>
          <w:rFonts w:ascii="Bookman Old Style" w:eastAsiaTheme="majorEastAsia" w:hAnsi="Bookman Old Style" w:cstheme="majorBidi"/>
          <w:b/>
          <w:bCs/>
          <w:color w:val="0F4761" w:themeColor="accent1" w:themeShade="BF"/>
        </w:rPr>
        <w:t>Proroga facoltà di aumento tariffe massime dell’imposta di soggiorno</w:t>
      </w:r>
      <w:bookmarkEnd w:id="4"/>
    </w:p>
    <w:p w14:paraId="1BB32DF1" w14:textId="77777777" w:rsidR="002339DB" w:rsidRPr="002339DB" w:rsidRDefault="002339DB" w:rsidP="002339DB">
      <w:pPr>
        <w:pStyle w:val="Paragrafoelenco"/>
        <w:keepNext/>
        <w:keepLines/>
        <w:spacing w:after="80" w:line="256" w:lineRule="auto"/>
        <w:outlineLvl w:val="2"/>
        <w:rPr>
          <w:rFonts w:ascii="Bookman Old Style" w:eastAsiaTheme="majorEastAsia" w:hAnsi="Bookman Old Style" w:cstheme="majorBidi"/>
          <w:b/>
          <w:bCs/>
          <w:color w:val="0F4761" w:themeColor="accent1" w:themeShade="BF"/>
        </w:rPr>
      </w:pPr>
    </w:p>
    <w:p w14:paraId="3C6BFCB1" w14:textId="77777777" w:rsidR="002339DB" w:rsidRDefault="002339DB" w:rsidP="002339DB">
      <w:pPr>
        <w:spacing w:after="80" w:line="256" w:lineRule="auto"/>
        <w:jc w:val="both"/>
        <w:rPr>
          <w:rFonts w:ascii="Bookman Old Style" w:eastAsia="Calibri" w:hAnsi="Bookman Old Style" w:cs="Times New Roman"/>
        </w:rPr>
      </w:pPr>
      <w:r>
        <w:rPr>
          <w:rFonts w:ascii="Bookman Old Style" w:eastAsia="Calibri" w:hAnsi="Bookman Old Style" w:cs="Times New Roman"/>
        </w:rPr>
        <w:t>All’articolo 1, comma 683, della legge 30 dicembre 2025, n. 199, sono apportate le seguenti modificazioni:</w:t>
      </w:r>
    </w:p>
    <w:p w14:paraId="15C9EBB1" w14:textId="77777777" w:rsidR="002339DB" w:rsidRDefault="002339DB" w:rsidP="002339DB">
      <w:pPr>
        <w:spacing w:after="80" w:line="256" w:lineRule="auto"/>
        <w:jc w:val="both"/>
        <w:rPr>
          <w:rFonts w:ascii="Bookman Old Style" w:eastAsia="Calibri" w:hAnsi="Bookman Old Style" w:cs="Times New Roman"/>
        </w:rPr>
      </w:pPr>
      <w:r>
        <w:rPr>
          <w:rFonts w:ascii="Bookman Old Style" w:eastAsia="Calibri" w:hAnsi="Bookman Old Style" w:cs="Times New Roman"/>
        </w:rPr>
        <w:t>a) al primo periodo, le parole: “anche nell’anno 2026” sono sostituite dalle seguenti: “anche negli anni 2026 e 2027”;</w:t>
      </w:r>
    </w:p>
    <w:p w14:paraId="7E63B386" w14:textId="77777777" w:rsidR="002339DB" w:rsidRDefault="002339DB" w:rsidP="002339DB">
      <w:pPr>
        <w:spacing w:after="80" w:line="256" w:lineRule="auto"/>
        <w:jc w:val="both"/>
        <w:rPr>
          <w:rFonts w:ascii="Bookman Old Style" w:eastAsia="Calibri" w:hAnsi="Bookman Old Style" w:cs="Times New Roman"/>
        </w:rPr>
      </w:pPr>
      <w:r>
        <w:rPr>
          <w:rFonts w:ascii="Bookman Old Style" w:eastAsia="Calibri" w:hAnsi="Bookman Old Style" w:cs="Times New Roman"/>
        </w:rPr>
        <w:t>b) al secondo periodo, le parole: “incassato nell’anno 2026” sono sostituite dalle seguenti: “incassato negli anni 2026 e 2027”.</w:t>
      </w:r>
    </w:p>
    <w:p w14:paraId="51EB0DCB" w14:textId="77777777" w:rsidR="002339DB" w:rsidRPr="002339DB" w:rsidRDefault="002339DB" w:rsidP="002339DB">
      <w:pPr>
        <w:spacing w:after="80" w:line="256" w:lineRule="auto"/>
        <w:jc w:val="center"/>
        <w:rPr>
          <w:rFonts w:ascii="Bookman Old Style" w:hAnsi="Bookman Old Style"/>
          <w:b/>
          <w:bCs/>
        </w:rPr>
      </w:pPr>
      <w:r w:rsidRPr="002339DB">
        <w:rPr>
          <w:rFonts w:ascii="Bookman Old Style" w:hAnsi="Bookman Old Style"/>
          <w:b/>
          <w:bCs/>
        </w:rPr>
        <w:t>Motivazione</w:t>
      </w:r>
    </w:p>
    <w:p w14:paraId="417D1729" w14:textId="77777777" w:rsidR="002339DB" w:rsidRDefault="002339DB" w:rsidP="002339DB">
      <w:pPr>
        <w:jc w:val="both"/>
        <w:rPr>
          <w:rFonts w:ascii="Bookman Old Style" w:hAnsi="Bookman Old Style"/>
          <w:i/>
          <w:iCs/>
        </w:rPr>
      </w:pPr>
      <w:r>
        <w:rPr>
          <w:rFonts w:ascii="Bookman Old Style" w:hAnsi="Bookman Old Style"/>
          <w:i/>
          <w:iCs/>
        </w:rPr>
        <w:t xml:space="preserve">La disposizione è finalizzata a estendere al 2027 la facoltà, già prevista per l’anno 2025 e 2026, di incrementare fino a 2 euro per notte l’imposta di soggiorno e i contributi alternativi previsti per Roma Capitale e per il comune di Venezia. </w:t>
      </w:r>
    </w:p>
    <w:p w14:paraId="76EE67BE" w14:textId="77777777" w:rsidR="002339DB" w:rsidRDefault="002339DB" w:rsidP="002339DB">
      <w:pPr>
        <w:jc w:val="both"/>
        <w:rPr>
          <w:rFonts w:ascii="Bookman Old Style" w:hAnsi="Bookman Old Style"/>
          <w:i/>
          <w:iCs/>
        </w:rPr>
      </w:pPr>
      <w:r>
        <w:rPr>
          <w:rFonts w:ascii="Bookman Old Style" w:hAnsi="Bookman Old Style"/>
          <w:i/>
          <w:iCs/>
        </w:rPr>
        <w:t>La proroga della misura risulta inoltre opportuna nelle more del complessivo riordino della disciplina dell’imposta di soggiorno di cui all’articolo 4 del decreto legislativo 14 marzo 2011, n. 23, ed appare altresì urgente per consentire l’ordinata programmazione di bilancio per il 2027.</w:t>
      </w:r>
    </w:p>
    <w:p w14:paraId="330EDAC9" w14:textId="77777777" w:rsidR="002339DB" w:rsidRDefault="002339DB" w:rsidP="002339DB">
      <w:pPr>
        <w:jc w:val="both"/>
        <w:rPr>
          <w:rFonts w:ascii="Bookman Old Style" w:hAnsi="Bookman Old Style"/>
        </w:rPr>
      </w:pPr>
    </w:p>
    <w:p w14:paraId="55194CE1" w14:textId="77777777" w:rsidR="00085C0E" w:rsidRPr="00720219" w:rsidRDefault="00085C0E" w:rsidP="00B42FDD">
      <w:pPr>
        <w:autoSpaceDE w:val="0"/>
        <w:autoSpaceDN w:val="0"/>
        <w:adjustRightInd w:val="0"/>
        <w:spacing w:after="0" w:line="240" w:lineRule="auto"/>
        <w:jc w:val="both"/>
        <w:rPr>
          <w:rFonts w:ascii="Bookman Old Style" w:hAnsi="Bookman Old Style"/>
        </w:rPr>
      </w:pPr>
    </w:p>
    <w:p w14:paraId="15BD23A3" w14:textId="77777777" w:rsidR="00095F38" w:rsidRDefault="00095F38" w:rsidP="00B42FDD">
      <w:pPr>
        <w:autoSpaceDE w:val="0"/>
        <w:autoSpaceDN w:val="0"/>
        <w:adjustRightInd w:val="0"/>
        <w:spacing w:after="0" w:line="240" w:lineRule="auto"/>
        <w:jc w:val="both"/>
        <w:rPr>
          <w:rFonts w:ascii="Bookman Old Style" w:hAnsi="Bookman Old Style"/>
          <w:b/>
          <w:bCs/>
        </w:rPr>
      </w:pPr>
    </w:p>
    <w:p w14:paraId="35FEB78F" w14:textId="37035413" w:rsidR="00085C0E" w:rsidRPr="00720219" w:rsidRDefault="009F3B75" w:rsidP="00B42FDD">
      <w:pPr>
        <w:autoSpaceDE w:val="0"/>
        <w:autoSpaceDN w:val="0"/>
        <w:adjustRightInd w:val="0"/>
        <w:spacing w:after="0" w:line="240" w:lineRule="auto"/>
        <w:jc w:val="both"/>
        <w:rPr>
          <w:rFonts w:ascii="Bookman Old Style" w:hAnsi="Bookman Old Style"/>
          <w:b/>
          <w:bCs/>
        </w:rPr>
      </w:pPr>
      <w:r w:rsidRPr="00095F38">
        <w:rPr>
          <w:rFonts w:ascii="Bookman Old Style" w:eastAsiaTheme="majorEastAsia" w:hAnsi="Bookman Old Style" w:cstheme="majorBidi"/>
          <w:b/>
          <w:bCs/>
          <w:color w:val="0F4761" w:themeColor="accent1" w:themeShade="BF"/>
        </w:rPr>
        <w:t>ULTERIORI NORME</w:t>
      </w:r>
    </w:p>
    <w:p w14:paraId="61B09465" w14:textId="77777777" w:rsidR="00E467BC" w:rsidRPr="00720219" w:rsidRDefault="00E467BC" w:rsidP="0073247C">
      <w:pPr>
        <w:keepNext/>
        <w:keepLines/>
        <w:numPr>
          <w:ilvl w:val="0"/>
          <w:numId w:val="2"/>
        </w:numPr>
        <w:spacing w:before="360" w:after="80" w:line="256" w:lineRule="auto"/>
        <w:jc w:val="both"/>
        <w:outlineLvl w:val="0"/>
        <w:rPr>
          <w:rFonts w:ascii="Bookman Old Style" w:eastAsiaTheme="majorEastAsia" w:hAnsi="Bookman Old Style" w:cstheme="majorBidi"/>
          <w:b/>
          <w:bCs/>
          <w:color w:val="0F4761" w:themeColor="accent1" w:themeShade="BF"/>
        </w:rPr>
      </w:pPr>
      <w:r w:rsidRPr="00720219">
        <w:rPr>
          <w:rFonts w:ascii="Bookman Old Style" w:eastAsiaTheme="majorEastAsia" w:hAnsi="Bookman Old Style" w:cstheme="majorBidi"/>
          <w:b/>
          <w:bCs/>
          <w:color w:val="0F4761" w:themeColor="accent1" w:themeShade="BF"/>
        </w:rPr>
        <w:t>Canone demaniale marittimo</w:t>
      </w:r>
    </w:p>
    <w:p w14:paraId="4E39C0D4" w14:textId="77777777" w:rsidR="00E467BC" w:rsidRPr="00720219" w:rsidRDefault="00E467BC" w:rsidP="00E467BC">
      <w:pPr>
        <w:jc w:val="center"/>
        <w:rPr>
          <w:rFonts w:ascii="Bookman Old Style" w:hAnsi="Bookman Old Style"/>
        </w:rPr>
      </w:pPr>
    </w:p>
    <w:p w14:paraId="18A77290" w14:textId="77777777" w:rsidR="00E467BC" w:rsidRPr="00720219" w:rsidRDefault="00E467BC" w:rsidP="00E467BC">
      <w:pPr>
        <w:autoSpaceDE w:val="0"/>
        <w:autoSpaceDN w:val="0"/>
        <w:adjustRightInd w:val="0"/>
        <w:spacing w:after="0" w:line="240" w:lineRule="auto"/>
        <w:ind w:left="360"/>
        <w:contextualSpacing/>
        <w:jc w:val="both"/>
        <w:rPr>
          <w:rFonts w:ascii="Bookman Old Style" w:hAnsi="Bookman Old Style"/>
          <w:i/>
          <w:iCs/>
        </w:rPr>
      </w:pPr>
      <w:r w:rsidRPr="00720219">
        <w:rPr>
          <w:rFonts w:ascii="Bookman Old Style" w:hAnsi="Bookman Old Style"/>
          <w:i/>
          <w:iCs/>
        </w:rPr>
        <w:t>Dopo l’Art. 14 inserire il seguente:</w:t>
      </w:r>
    </w:p>
    <w:p w14:paraId="6AE2C737" w14:textId="77777777" w:rsidR="00E467BC" w:rsidRPr="00720219" w:rsidRDefault="00E467BC" w:rsidP="00E467BC">
      <w:pPr>
        <w:autoSpaceDE w:val="0"/>
        <w:autoSpaceDN w:val="0"/>
        <w:adjustRightInd w:val="0"/>
        <w:spacing w:after="0" w:line="240" w:lineRule="auto"/>
        <w:ind w:left="360"/>
        <w:contextualSpacing/>
        <w:jc w:val="both"/>
        <w:rPr>
          <w:rFonts w:ascii="Bookman Old Style" w:hAnsi="Bookman Old Style"/>
          <w:i/>
          <w:iCs/>
        </w:rPr>
      </w:pPr>
    </w:p>
    <w:p w14:paraId="19017F12" w14:textId="77777777" w:rsidR="00E467BC" w:rsidRPr="00720219" w:rsidRDefault="00E467BC" w:rsidP="00327912">
      <w:pPr>
        <w:autoSpaceDE w:val="0"/>
        <w:autoSpaceDN w:val="0"/>
        <w:adjustRightInd w:val="0"/>
        <w:spacing w:after="0" w:line="240" w:lineRule="auto"/>
        <w:ind w:left="357"/>
        <w:contextualSpacing/>
        <w:jc w:val="center"/>
        <w:rPr>
          <w:rFonts w:ascii="Bookman Old Style" w:hAnsi="Bookman Old Style"/>
          <w:b/>
          <w:bCs/>
          <w:i/>
          <w:iCs/>
        </w:rPr>
      </w:pPr>
      <w:r w:rsidRPr="00720219">
        <w:rPr>
          <w:rFonts w:ascii="Bookman Old Style" w:hAnsi="Bookman Old Style"/>
          <w:b/>
          <w:bCs/>
          <w:i/>
          <w:iCs/>
        </w:rPr>
        <w:t>Art. 14-bis</w:t>
      </w:r>
    </w:p>
    <w:p w14:paraId="38401E8A" w14:textId="77777777" w:rsidR="00E467BC" w:rsidRPr="00720219" w:rsidRDefault="00E467BC" w:rsidP="00327912">
      <w:pPr>
        <w:autoSpaceDE w:val="0"/>
        <w:autoSpaceDN w:val="0"/>
        <w:adjustRightInd w:val="0"/>
        <w:spacing w:after="0" w:line="240" w:lineRule="auto"/>
        <w:ind w:left="357"/>
        <w:contextualSpacing/>
        <w:jc w:val="center"/>
        <w:rPr>
          <w:rFonts w:ascii="Bookman Old Style" w:hAnsi="Bookman Old Style"/>
          <w:b/>
          <w:bCs/>
          <w:i/>
          <w:iCs/>
        </w:rPr>
      </w:pPr>
      <w:r w:rsidRPr="00720219">
        <w:rPr>
          <w:rFonts w:ascii="Bookman Old Style" w:hAnsi="Bookman Old Style"/>
          <w:b/>
          <w:bCs/>
          <w:i/>
          <w:iCs/>
        </w:rPr>
        <w:t>(Disposizioni in materia di canone demaniale marittimo)</w:t>
      </w:r>
    </w:p>
    <w:p w14:paraId="0EE05626" w14:textId="77777777" w:rsidR="00E467BC" w:rsidRPr="00720219" w:rsidRDefault="00E467BC" w:rsidP="00E467BC">
      <w:pPr>
        <w:autoSpaceDE w:val="0"/>
        <w:autoSpaceDN w:val="0"/>
        <w:adjustRightInd w:val="0"/>
        <w:spacing w:after="0" w:line="240" w:lineRule="auto"/>
        <w:ind w:left="360"/>
        <w:contextualSpacing/>
        <w:jc w:val="center"/>
        <w:rPr>
          <w:rFonts w:ascii="Bookman Old Style" w:hAnsi="Bookman Old Style"/>
          <w:b/>
          <w:bCs/>
          <w:i/>
          <w:iCs/>
        </w:rPr>
      </w:pPr>
    </w:p>
    <w:p w14:paraId="4F55A441" w14:textId="77777777" w:rsidR="00E467BC" w:rsidRPr="00720219" w:rsidRDefault="00E467BC" w:rsidP="00E467BC">
      <w:pPr>
        <w:autoSpaceDE w:val="0"/>
        <w:autoSpaceDN w:val="0"/>
        <w:adjustRightInd w:val="0"/>
        <w:spacing w:after="0" w:line="240" w:lineRule="auto"/>
        <w:ind w:left="360"/>
        <w:contextualSpacing/>
        <w:jc w:val="center"/>
        <w:rPr>
          <w:rFonts w:ascii="Bookman Old Style" w:hAnsi="Bookman Old Style" w:cs="PalatinoLinotype"/>
          <w:kern w:val="0"/>
        </w:rPr>
      </w:pPr>
    </w:p>
    <w:p w14:paraId="6B22F057" w14:textId="77777777" w:rsidR="002D2D0B" w:rsidRPr="00720219" w:rsidRDefault="002D2D0B" w:rsidP="002D2D0B">
      <w:pPr>
        <w:pStyle w:val="Paragrafoelenco"/>
        <w:numPr>
          <w:ilvl w:val="0"/>
          <w:numId w:val="1"/>
        </w:numPr>
        <w:autoSpaceDE w:val="0"/>
        <w:autoSpaceDN w:val="0"/>
        <w:adjustRightInd w:val="0"/>
        <w:spacing w:after="0" w:line="240" w:lineRule="auto"/>
        <w:jc w:val="both"/>
        <w:rPr>
          <w:rFonts w:ascii="Bookman Old Style" w:hAnsi="Bookman Old Style"/>
        </w:rPr>
      </w:pPr>
      <w:r w:rsidRPr="00720219">
        <w:rPr>
          <w:rFonts w:ascii="Bookman Old Style" w:hAnsi="Bookman Old Style"/>
        </w:rPr>
        <w:t xml:space="preserve">Gli enti concedenti che bandiscono le procedure di affidamento di cui all’art. 4 della Legge 5 agosto 2022, n. 118, possono chiedere di offrire, in aggiunta od in alternativa a quanto previsto dall’art. 4, comma 6, lettera a) della medesima Legge, anche un rialzo rispetto agli importi dovuti ai sensi dell’art. 03 del decreto-legge 5 ottobre 1993, n. 400, convertito con modificazioni dalla Legge 4 dicembre 1993, n. 494. In tal caso, gli importi derivanti dai </w:t>
      </w:r>
      <w:proofErr w:type="gramStart"/>
      <w:r w:rsidRPr="00720219">
        <w:rPr>
          <w:rFonts w:ascii="Bookman Old Style" w:hAnsi="Bookman Old Style"/>
        </w:rPr>
        <w:t>predetti</w:t>
      </w:r>
      <w:proofErr w:type="gramEnd"/>
      <w:r w:rsidRPr="00720219">
        <w:rPr>
          <w:rFonts w:ascii="Bookman Old Style" w:hAnsi="Bookman Old Style"/>
        </w:rPr>
        <w:t xml:space="preserve"> rialzi restano acquisiti a favore dei bilanci dei medesimi enti.</w:t>
      </w:r>
    </w:p>
    <w:p w14:paraId="5609EA0F" w14:textId="77777777" w:rsidR="002D2D0B" w:rsidRPr="00720219" w:rsidRDefault="002D2D0B" w:rsidP="002D2D0B">
      <w:pPr>
        <w:pStyle w:val="Paragrafoelenco"/>
        <w:autoSpaceDE w:val="0"/>
        <w:autoSpaceDN w:val="0"/>
        <w:adjustRightInd w:val="0"/>
        <w:spacing w:after="0" w:line="240" w:lineRule="auto"/>
        <w:jc w:val="both"/>
        <w:rPr>
          <w:rFonts w:ascii="Bookman Old Style" w:hAnsi="Bookman Old Style"/>
        </w:rPr>
      </w:pPr>
    </w:p>
    <w:p w14:paraId="5B5B4B23" w14:textId="65D06B8C" w:rsidR="002D2D0B" w:rsidRPr="00341D3B" w:rsidRDefault="002D2D0B" w:rsidP="002D2D0B">
      <w:pPr>
        <w:pStyle w:val="Paragrafoelenco"/>
        <w:autoSpaceDE w:val="0"/>
        <w:autoSpaceDN w:val="0"/>
        <w:adjustRightInd w:val="0"/>
        <w:spacing w:after="0" w:line="240" w:lineRule="auto"/>
        <w:jc w:val="both"/>
        <w:rPr>
          <w:rFonts w:ascii="Bookman Old Style" w:hAnsi="Bookman Old Style"/>
          <w:b/>
          <w:bCs/>
        </w:rPr>
      </w:pPr>
      <w:r w:rsidRPr="00341D3B">
        <w:rPr>
          <w:rFonts w:ascii="Bookman Old Style" w:hAnsi="Bookman Old Style"/>
          <w:b/>
          <w:bCs/>
        </w:rPr>
        <w:t xml:space="preserve">IN ALTERNATIVA </w:t>
      </w:r>
    </w:p>
    <w:p w14:paraId="224D1787" w14:textId="77777777" w:rsidR="002D2D0B" w:rsidRPr="00720219" w:rsidRDefault="002D2D0B" w:rsidP="002D2D0B">
      <w:pPr>
        <w:pStyle w:val="Paragrafoelenco"/>
        <w:autoSpaceDE w:val="0"/>
        <w:autoSpaceDN w:val="0"/>
        <w:adjustRightInd w:val="0"/>
        <w:spacing w:after="0" w:line="240" w:lineRule="auto"/>
        <w:jc w:val="both"/>
        <w:rPr>
          <w:rFonts w:ascii="Bookman Old Style" w:hAnsi="Bookman Old Style"/>
        </w:rPr>
      </w:pPr>
    </w:p>
    <w:p w14:paraId="2DE948FC" w14:textId="12CD4ECA" w:rsidR="00E467BC" w:rsidRPr="00720219" w:rsidRDefault="003A3527" w:rsidP="002D2D0B">
      <w:pPr>
        <w:pStyle w:val="Paragrafoelenco"/>
        <w:numPr>
          <w:ilvl w:val="0"/>
          <w:numId w:val="9"/>
        </w:numPr>
        <w:autoSpaceDE w:val="0"/>
        <w:autoSpaceDN w:val="0"/>
        <w:adjustRightInd w:val="0"/>
        <w:spacing w:after="0" w:line="240" w:lineRule="auto"/>
        <w:jc w:val="both"/>
        <w:rPr>
          <w:rFonts w:ascii="Bookman Old Style" w:hAnsi="Bookman Old Style"/>
        </w:rPr>
      </w:pPr>
      <w:r w:rsidRPr="00720219">
        <w:rPr>
          <w:rFonts w:ascii="Bookman Old Style" w:hAnsi="Bookman Old Style"/>
        </w:rPr>
        <w:lastRenderedPageBreak/>
        <w:t xml:space="preserve">I Comuni che gestiscono le procedure di affidamento delle concessioni </w:t>
      </w:r>
      <w:r w:rsidR="00BD4D83" w:rsidRPr="00720219">
        <w:rPr>
          <w:rFonts w:ascii="Bookman Old Style" w:hAnsi="Bookman Old Style"/>
        </w:rPr>
        <w:t xml:space="preserve">demaniali sono autorizzati </w:t>
      </w:r>
      <w:r w:rsidR="003D43B7" w:rsidRPr="00720219">
        <w:rPr>
          <w:rFonts w:ascii="Bookman Old Style" w:hAnsi="Bookman Old Style"/>
        </w:rPr>
        <w:t>ad incamerare una quota non inferiore al 30%</w:t>
      </w:r>
      <w:r w:rsidR="00736346" w:rsidRPr="00720219">
        <w:rPr>
          <w:rFonts w:ascii="Bookman Old Style" w:hAnsi="Bookman Old Style"/>
        </w:rPr>
        <w:t xml:space="preserve"> </w:t>
      </w:r>
      <w:r w:rsidR="003D43B7" w:rsidRPr="00720219">
        <w:rPr>
          <w:rFonts w:ascii="Bookman Old Style" w:hAnsi="Bookman Old Style"/>
        </w:rPr>
        <w:t>dell’eventuale rialzo sul canone concessorio previsto nel bando</w:t>
      </w:r>
      <w:r w:rsidR="00840DA1" w:rsidRPr="00720219">
        <w:rPr>
          <w:rFonts w:ascii="Bookman Old Style" w:hAnsi="Bookman Old Style"/>
        </w:rPr>
        <w:t>.</w:t>
      </w:r>
    </w:p>
    <w:p w14:paraId="559D753C" w14:textId="77777777" w:rsidR="00840DA1" w:rsidRPr="00720219" w:rsidRDefault="00840DA1" w:rsidP="00840DA1">
      <w:pPr>
        <w:autoSpaceDE w:val="0"/>
        <w:autoSpaceDN w:val="0"/>
        <w:adjustRightInd w:val="0"/>
        <w:spacing w:after="0" w:line="240" w:lineRule="auto"/>
        <w:ind w:left="360"/>
        <w:jc w:val="both"/>
        <w:rPr>
          <w:rFonts w:ascii="Bookman Old Style" w:hAnsi="Bookman Old Style"/>
        </w:rPr>
      </w:pPr>
    </w:p>
    <w:p w14:paraId="69A1BEA4" w14:textId="77777777" w:rsidR="00E467BC" w:rsidRPr="00720219" w:rsidRDefault="00E467BC" w:rsidP="00E467BC">
      <w:pPr>
        <w:autoSpaceDE w:val="0"/>
        <w:autoSpaceDN w:val="0"/>
        <w:adjustRightInd w:val="0"/>
        <w:spacing w:after="0" w:line="240" w:lineRule="auto"/>
        <w:jc w:val="center"/>
        <w:rPr>
          <w:rFonts w:ascii="Bookman Old Style" w:hAnsi="Bookman Old Style"/>
          <w:b/>
          <w:bCs/>
        </w:rPr>
      </w:pPr>
      <w:r w:rsidRPr="00720219">
        <w:rPr>
          <w:rFonts w:ascii="Bookman Old Style" w:hAnsi="Bookman Old Style"/>
          <w:b/>
          <w:bCs/>
        </w:rPr>
        <w:t>Motivazione</w:t>
      </w:r>
    </w:p>
    <w:p w14:paraId="7D1B8446" w14:textId="77777777" w:rsidR="00E467BC" w:rsidRPr="00720219" w:rsidRDefault="00E467BC" w:rsidP="00E467BC">
      <w:pPr>
        <w:autoSpaceDE w:val="0"/>
        <w:autoSpaceDN w:val="0"/>
        <w:adjustRightInd w:val="0"/>
        <w:spacing w:after="0" w:line="240" w:lineRule="auto"/>
        <w:jc w:val="center"/>
        <w:rPr>
          <w:rFonts w:ascii="Bookman Old Style" w:hAnsi="Bookman Old Style"/>
          <w:b/>
          <w:bCs/>
        </w:rPr>
      </w:pPr>
    </w:p>
    <w:p w14:paraId="23AE6472" w14:textId="77777777" w:rsidR="00E467BC" w:rsidRPr="00720219" w:rsidRDefault="00E467BC" w:rsidP="00E467BC">
      <w:pPr>
        <w:jc w:val="both"/>
        <w:rPr>
          <w:rFonts w:ascii="Bookman Old Style" w:hAnsi="Bookman Old Style"/>
          <w:i/>
          <w:iCs/>
        </w:rPr>
      </w:pPr>
      <w:r w:rsidRPr="00720219">
        <w:rPr>
          <w:rFonts w:ascii="Bookman Old Style" w:hAnsi="Bookman Old Style"/>
          <w:i/>
          <w:iCs/>
        </w:rPr>
        <w:t>Come è noto, i Comuni, su delega delle Regioni, si occupano della gestione del demanio marittimo, impegnando risorse umane e finanziarie per le attività connesse al rinnovo e al rilascio delle concessioni, per la riscossione dei canoni, nonché per interventi di manutenzione delle aree costiere, di difesa e di miglioramento della fruibilità delle aree demaniali.</w:t>
      </w:r>
    </w:p>
    <w:p w14:paraId="74503C5B" w14:textId="77777777" w:rsidR="00E467BC" w:rsidRPr="00720219" w:rsidRDefault="00E467BC" w:rsidP="00E467BC">
      <w:pPr>
        <w:spacing w:after="120"/>
        <w:jc w:val="both"/>
        <w:rPr>
          <w:rFonts w:ascii="Bookman Old Style" w:eastAsiaTheme="majorEastAsia" w:hAnsi="Bookman Old Style" w:cs="Calibri"/>
          <w:i/>
          <w:iCs/>
          <w:lang w:eastAsia="it-IT"/>
        </w:rPr>
      </w:pPr>
      <w:r w:rsidRPr="00720219">
        <w:rPr>
          <w:rFonts w:ascii="Bookman Old Style" w:eastAsiaTheme="majorEastAsia" w:hAnsi="Bookman Old Style" w:cs="Calibri"/>
          <w:i/>
          <w:iCs/>
          <w:lang w:eastAsia="it-IT"/>
        </w:rPr>
        <w:t>Al riguardo si evidenzia che il gettito derivante dalla riscossione dei canoni demaniali non va, neppure in minima parte, a beneficio dei Comuni, sui quali ricadono soltanto gli oneri dell’attività amministrativa richiesta. Le risorse incassate vengono riversate per intero nelle casse dello Stato, per un valore complessivo stimato in circa 130 milioni di euro.</w:t>
      </w:r>
    </w:p>
    <w:p w14:paraId="3619659D" w14:textId="35748F66" w:rsidR="002D2D0B" w:rsidRPr="00720219" w:rsidRDefault="002D2D0B" w:rsidP="00E467BC">
      <w:pPr>
        <w:spacing w:after="120"/>
        <w:jc w:val="both"/>
        <w:rPr>
          <w:rFonts w:ascii="Bookman Old Style" w:eastAsiaTheme="majorEastAsia" w:hAnsi="Bookman Old Style" w:cs="Calibri"/>
          <w:i/>
          <w:iCs/>
          <w:lang w:eastAsia="it-IT"/>
        </w:rPr>
      </w:pPr>
      <w:r w:rsidRPr="00720219">
        <w:rPr>
          <w:rFonts w:ascii="Bookman Old Style" w:eastAsiaTheme="majorEastAsia" w:hAnsi="Bookman Old Style" w:cs="Calibri"/>
          <w:i/>
          <w:iCs/>
          <w:lang w:eastAsia="it-IT"/>
        </w:rPr>
        <w:t>L’emendamento proposto è finalizzato a riconoscere ai Comuni, che ospitano le attività concessionarie sul demanio marittimo, la possibilità di prevedere - nei bandi di gara per il rinnovo delle concessioni demaniali marittime - un rialzo sul canone demaniale che resti nel bilancio dei Comuni stessi allo scopo non solo di sostenere le spese amministrative, ma anche di incentivare progetti per la protezione dell'ambiente marino e per il miglioramento delle strutture e dei servizi nel territorio comunale, con beneficio diretto per i cittadini e alla costa.</w:t>
      </w:r>
    </w:p>
    <w:p w14:paraId="3BB14A1E" w14:textId="025CB38D" w:rsidR="00E467BC" w:rsidRPr="00720219" w:rsidRDefault="00E467BC" w:rsidP="00E467BC">
      <w:pPr>
        <w:jc w:val="both"/>
        <w:rPr>
          <w:rFonts w:ascii="Bookman Old Style" w:hAnsi="Bookman Old Style"/>
          <w:i/>
          <w:iCs/>
        </w:rPr>
      </w:pPr>
      <w:r w:rsidRPr="00720219">
        <w:rPr>
          <w:rFonts w:ascii="Bookman Old Style" w:hAnsi="Bookman Old Style"/>
          <w:i/>
          <w:iCs/>
        </w:rPr>
        <w:t>Tale previsione non necessita di copertura finanziaria in quanto non ha impatti sul bilancio dello Stato.</w:t>
      </w:r>
    </w:p>
    <w:p w14:paraId="1B7540F6" w14:textId="77777777" w:rsidR="00E467BC" w:rsidRDefault="00E467BC" w:rsidP="00E467BC">
      <w:pPr>
        <w:rPr>
          <w:rFonts w:ascii="Bookman Old Style" w:hAnsi="Bookman Old Style"/>
        </w:rPr>
      </w:pPr>
    </w:p>
    <w:p w14:paraId="7182C441" w14:textId="221E688A" w:rsidR="00ED79CA" w:rsidRPr="00720219" w:rsidRDefault="00080054" w:rsidP="0073247C">
      <w:pPr>
        <w:keepNext/>
        <w:keepLines/>
        <w:numPr>
          <w:ilvl w:val="0"/>
          <w:numId w:val="2"/>
        </w:numPr>
        <w:spacing w:before="360" w:after="80" w:line="256" w:lineRule="auto"/>
        <w:jc w:val="both"/>
        <w:outlineLvl w:val="0"/>
        <w:rPr>
          <w:rFonts w:ascii="Bookman Old Style" w:eastAsiaTheme="majorEastAsia" w:hAnsi="Bookman Old Style" w:cstheme="majorBidi"/>
          <w:b/>
          <w:bCs/>
          <w:color w:val="0F4761" w:themeColor="accent1" w:themeShade="BF"/>
        </w:rPr>
      </w:pPr>
      <w:r>
        <w:rPr>
          <w:rFonts w:ascii="Bookman Old Style" w:eastAsiaTheme="majorEastAsia" w:hAnsi="Bookman Old Style" w:cstheme="majorBidi"/>
          <w:b/>
          <w:bCs/>
          <w:color w:val="0F4761" w:themeColor="accent1" w:themeShade="BF"/>
        </w:rPr>
        <w:t>Accelerazione e</w:t>
      </w:r>
      <w:r w:rsidR="00ED79CA" w:rsidRPr="00720219">
        <w:rPr>
          <w:rFonts w:ascii="Bookman Old Style" w:eastAsiaTheme="majorEastAsia" w:hAnsi="Bookman Old Style" w:cstheme="majorBidi"/>
          <w:b/>
          <w:bCs/>
          <w:color w:val="0F4761" w:themeColor="accent1" w:themeShade="BF"/>
        </w:rPr>
        <w:t xml:space="preserve">rogazione fondi </w:t>
      </w:r>
      <w:r w:rsidR="000C21AA">
        <w:rPr>
          <w:rFonts w:ascii="Bookman Old Style" w:eastAsiaTheme="majorEastAsia" w:hAnsi="Bookman Old Style" w:cstheme="majorBidi"/>
          <w:b/>
          <w:bCs/>
          <w:color w:val="0F4761" w:themeColor="accent1" w:themeShade="BF"/>
        </w:rPr>
        <w:t>enti locali</w:t>
      </w:r>
    </w:p>
    <w:p w14:paraId="4E787170" w14:textId="17820191" w:rsidR="00694E1D" w:rsidRPr="00720219" w:rsidRDefault="00694E1D" w:rsidP="00694E1D">
      <w:pPr>
        <w:rPr>
          <w:rFonts w:ascii="Bookman Old Style" w:hAnsi="Bookman Old Style"/>
          <w:i/>
          <w:iCs/>
        </w:rPr>
      </w:pPr>
      <w:r w:rsidRPr="00720219">
        <w:rPr>
          <w:rFonts w:ascii="Bookman Old Style" w:hAnsi="Bookman Old Style"/>
          <w:i/>
          <w:iCs/>
        </w:rPr>
        <w:t>Inserire il seguente articolo:</w:t>
      </w:r>
    </w:p>
    <w:p w14:paraId="323F1C18" w14:textId="76B095AF" w:rsidR="00694E1D" w:rsidRPr="00720219" w:rsidRDefault="00694E1D" w:rsidP="00694E1D">
      <w:pPr>
        <w:jc w:val="both"/>
        <w:rPr>
          <w:rFonts w:ascii="Bookman Old Style" w:hAnsi="Bookman Old Style"/>
        </w:rPr>
      </w:pPr>
      <w:r w:rsidRPr="00720219">
        <w:rPr>
          <w:rFonts w:ascii="Bookman Old Style" w:hAnsi="Bookman Old Style"/>
        </w:rPr>
        <w:t xml:space="preserve">Al fine di assicurare il rispetto dei tempi di pagamento tra pubbliche amministrazioni, di cui all'articolo 44 comma 1, del decreto legge 24 aprile 2014, n. 66, convertito con modificazioni dalla legge </w:t>
      </w:r>
      <w:r w:rsidRPr="00720219">
        <w:rPr>
          <w:rStyle w:val="gmail-wk-tooltip-wrapper"/>
          <w:rFonts w:ascii="Bookman Old Style" w:hAnsi="Bookman Old Style"/>
        </w:rPr>
        <w:t>23 giugno 2014, n. 89, al ricorrere delle condizioni ivi previste, </w:t>
      </w:r>
      <w:r w:rsidRPr="00720219">
        <w:rPr>
          <w:rFonts w:ascii="Bookman Old Style" w:hAnsi="Bookman Old Style"/>
        </w:rPr>
        <w:t xml:space="preserve">le amministrazioni statali </w:t>
      </w:r>
      <w:r w:rsidR="002339DB">
        <w:rPr>
          <w:rFonts w:ascii="Bookman Old Style" w:hAnsi="Bookman Old Style"/>
        </w:rPr>
        <w:t xml:space="preserve">e regionali </w:t>
      </w:r>
      <w:r w:rsidRPr="00720219">
        <w:rPr>
          <w:rFonts w:ascii="Bookman Old Style" w:hAnsi="Bookman Old Style"/>
        </w:rPr>
        <w:t>competenti per l'erogazione di trasferimenti in denaro a qualsiasi titolo dovuti agli enti locali, nel caso in cui non risulti perfezionato l'iter di emanazione del provvedimento eventualmente necessario all'erogazione in tempo utile per rispettare i termini previsti da leggi, regolamenti, o prassi consolidate, dispongono, a valere sulle dotazioni di cassa disponibili e con procedura di urgenza, il pagamento di un acconto di importo non inferiore al 70 per cento delle somme dovute a ciascun ente beneficiario.</w:t>
      </w:r>
    </w:p>
    <w:p w14:paraId="3A259DF6" w14:textId="77777777" w:rsidR="00694E1D" w:rsidRPr="00720219" w:rsidRDefault="00694E1D" w:rsidP="00694E1D">
      <w:pPr>
        <w:rPr>
          <w:rFonts w:ascii="Bookman Old Style" w:hAnsi="Bookman Old Style"/>
        </w:rPr>
      </w:pPr>
    </w:p>
    <w:p w14:paraId="5029A6A8" w14:textId="77777777" w:rsidR="00694E1D" w:rsidRPr="00720219" w:rsidRDefault="00694E1D" w:rsidP="00694E1D">
      <w:pPr>
        <w:jc w:val="center"/>
        <w:rPr>
          <w:rFonts w:ascii="Bookman Old Style" w:hAnsi="Bookman Old Style"/>
        </w:rPr>
      </w:pPr>
      <w:r w:rsidRPr="00720219">
        <w:rPr>
          <w:rFonts w:ascii="Bookman Old Style" w:hAnsi="Bookman Old Style"/>
          <w:b/>
          <w:bCs/>
        </w:rPr>
        <w:t>Motivazione</w:t>
      </w:r>
    </w:p>
    <w:p w14:paraId="26438AC6" w14:textId="77777777" w:rsidR="00694E1D" w:rsidRPr="00720219" w:rsidRDefault="00694E1D" w:rsidP="00786339">
      <w:pPr>
        <w:jc w:val="both"/>
        <w:rPr>
          <w:rFonts w:ascii="Bookman Old Style" w:hAnsi="Bookman Old Style"/>
        </w:rPr>
      </w:pPr>
      <w:r w:rsidRPr="00720219">
        <w:rPr>
          <w:rFonts w:ascii="Bookman Old Style" w:hAnsi="Bookman Old Style"/>
          <w:i/>
          <w:iCs/>
        </w:rPr>
        <w:t>Sono tuttora frequenti i casi di ritardo nell'erogazione di fondi dovuti agli enti locali da diversi ministeri, in ragione del mero mancato perfezionamento formale dei provvedimenti (di norma, decreti ministeriali o del Presidente del Consiglio dei ministri) dopo che sono state completamente espletate le procedure per la determinazione e il riparto dei fondi, unitamente alla comunicazione degli importi assegnati nelle forme di rito a ciascun ente locale beneficiario.</w:t>
      </w:r>
    </w:p>
    <w:p w14:paraId="082F8F7F" w14:textId="77777777" w:rsidR="00694E1D" w:rsidRPr="00720219" w:rsidRDefault="00694E1D" w:rsidP="00786339">
      <w:pPr>
        <w:jc w:val="both"/>
        <w:rPr>
          <w:rFonts w:ascii="Bookman Old Style" w:hAnsi="Bookman Old Style"/>
        </w:rPr>
      </w:pPr>
      <w:r w:rsidRPr="00720219">
        <w:rPr>
          <w:rFonts w:ascii="Bookman Old Style" w:hAnsi="Bookman Old Style"/>
          <w:i/>
          <w:iCs/>
        </w:rPr>
        <w:lastRenderedPageBreak/>
        <w:t>La norma proposta impegna l'amministrazione statale competente alla sollecita erogazione di un anticipo pari ad almeno il 70 per cento dell'importo dovuto, salvo conguaglio e nelle more del perfezionamento dell'atto di assegnazione.</w:t>
      </w:r>
    </w:p>
    <w:p w14:paraId="23A0AC24" w14:textId="77777777" w:rsidR="00694E1D" w:rsidRPr="00720219" w:rsidRDefault="00694E1D" w:rsidP="00786339">
      <w:pPr>
        <w:jc w:val="both"/>
        <w:rPr>
          <w:rFonts w:ascii="Bookman Old Style" w:hAnsi="Bookman Old Style"/>
        </w:rPr>
      </w:pPr>
      <w:r w:rsidRPr="00720219">
        <w:rPr>
          <w:rFonts w:ascii="Bookman Old Style" w:hAnsi="Bookman Old Style"/>
          <w:i/>
          <w:iCs/>
        </w:rPr>
        <w:t>Il tema dei ritardi dei pagamenti tra diversi livelli di governo costituisce un significativo ostacolo alla normalizzazione dei tempi di pagamento dei debiti commerciali, oltre che all'ordinata gestione del bilancio degli enti locali, con particolare riguardo a quelli meno dotati di entrate proprie. Il tema è stato sollevato anche nell'ambito dei lavori della Commissione di cui all'articolo 40 del dl n.19/2024 (commi 4 e ss.), trovando posto in un passo apposito della relazione finale.</w:t>
      </w:r>
    </w:p>
    <w:p w14:paraId="65F8B2F9" w14:textId="77777777" w:rsidR="00694E1D" w:rsidRPr="00720219" w:rsidRDefault="00694E1D" w:rsidP="00786339">
      <w:pPr>
        <w:jc w:val="both"/>
        <w:rPr>
          <w:rFonts w:ascii="Bookman Old Style" w:hAnsi="Bookman Old Style"/>
        </w:rPr>
      </w:pPr>
      <w:r w:rsidRPr="00720219">
        <w:rPr>
          <w:rFonts w:ascii="Bookman Old Style" w:hAnsi="Bookman Old Style"/>
          <w:i/>
          <w:iCs/>
        </w:rPr>
        <w:t>L'attuale stato di ritardo nell'erogazione della prima rata del Fondo di solidarietà comunale, dovuta entro fine maggio e ancora non erogata per la maggior parte dei Comuni in ragione del lungo iter di approvazione e controllo del relativo DPCM, mostra in modo diretto l'esigenza di una norma apposita che assicuri la possibilità di interventi urgenti di natura amministrativa in casi come questo, che non presentano alcun rischio di modifica del riparto o di annullamento del provvedimento  </w:t>
      </w:r>
    </w:p>
    <w:p w14:paraId="3451C83E" w14:textId="10F6E8C1" w:rsidR="003D6706" w:rsidRPr="00720219" w:rsidRDefault="003D6706">
      <w:pPr>
        <w:rPr>
          <w:rFonts w:ascii="Bookman Old Style" w:hAnsi="Bookman Old Style"/>
          <w:b/>
          <w:bCs/>
        </w:rPr>
      </w:pPr>
    </w:p>
    <w:sectPr w:rsidR="003D6706" w:rsidRPr="0072021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0D65" w14:textId="77777777" w:rsidR="00466F0F" w:rsidRDefault="00466F0F" w:rsidP="00F92F7E">
      <w:pPr>
        <w:spacing w:after="0" w:line="240" w:lineRule="auto"/>
      </w:pPr>
      <w:r>
        <w:separator/>
      </w:r>
    </w:p>
  </w:endnote>
  <w:endnote w:type="continuationSeparator" w:id="0">
    <w:p w14:paraId="55FFFC8B" w14:textId="77777777" w:rsidR="00466F0F" w:rsidRDefault="00466F0F" w:rsidP="00F9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Linotype">
    <w:altName w:val="Palatino Linotyp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426739"/>
      <w:docPartObj>
        <w:docPartGallery w:val="Page Numbers (Bottom of Page)"/>
        <w:docPartUnique/>
      </w:docPartObj>
    </w:sdtPr>
    <w:sdtEndPr/>
    <w:sdtContent>
      <w:p w14:paraId="4771B85F" w14:textId="73E2E9E0" w:rsidR="00F92F7E" w:rsidRDefault="00F92F7E">
        <w:pPr>
          <w:pStyle w:val="Pidipagina"/>
          <w:jc w:val="right"/>
        </w:pPr>
        <w:r>
          <w:fldChar w:fldCharType="begin"/>
        </w:r>
        <w:r>
          <w:instrText>PAGE   \* MERGEFORMAT</w:instrText>
        </w:r>
        <w:r>
          <w:fldChar w:fldCharType="separate"/>
        </w:r>
        <w:r>
          <w:t>2</w:t>
        </w:r>
        <w:r>
          <w:fldChar w:fldCharType="end"/>
        </w:r>
      </w:p>
    </w:sdtContent>
  </w:sdt>
  <w:p w14:paraId="4227C11B" w14:textId="77777777" w:rsidR="00F92F7E" w:rsidRDefault="00F92F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332B" w14:textId="77777777" w:rsidR="00466F0F" w:rsidRDefault="00466F0F" w:rsidP="00F92F7E">
      <w:pPr>
        <w:spacing w:after="0" w:line="240" w:lineRule="auto"/>
      </w:pPr>
      <w:r>
        <w:separator/>
      </w:r>
    </w:p>
  </w:footnote>
  <w:footnote w:type="continuationSeparator" w:id="0">
    <w:p w14:paraId="3ACF9E0D" w14:textId="77777777" w:rsidR="00466F0F" w:rsidRDefault="00466F0F" w:rsidP="00F92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448"/>
    <w:multiLevelType w:val="hybridMultilevel"/>
    <w:tmpl w:val="79B487F4"/>
    <w:lvl w:ilvl="0" w:tplc="FFFFFFFF">
      <w:start w:val="1"/>
      <w:numFmt w:val="decimal"/>
      <w:lvlText w:val="%1."/>
      <w:lvlJc w:val="center"/>
      <w:pPr>
        <w:ind w:left="720" w:hanging="360"/>
      </w:pPr>
      <w:rPr>
        <w:rFonts w:hint="default"/>
        <w:b/>
        <w:bCs/>
        <w:color w:val="156082"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2D3A39"/>
    <w:multiLevelType w:val="hybridMultilevel"/>
    <w:tmpl w:val="79B487F4"/>
    <w:lvl w:ilvl="0" w:tplc="C4A43EC2">
      <w:start w:val="1"/>
      <w:numFmt w:val="decimal"/>
      <w:lvlText w:val="%1."/>
      <w:lvlJc w:val="center"/>
      <w:pPr>
        <w:ind w:left="720" w:hanging="360"/>
      </w:pPr>
      <w:rPr>
        <w:rFonts w:hint="default"/>
        <w:b/>
        <w:bCs/>
        <w:color w:val="156082" w:themeColor="accen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5B061C"/>
    <w:multiLevelType w:val="hybridMultilevel"/>
    <w:tmpl w:val="D19AA1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6C76FB"/>
    <w:multiLevelType w:val="hybridMultilevel"/>
    <w:tmpl w:val="80A4B374"/>
    <w:lvl w:ilvl="0" w:tplc="FFFFFFFF">
      <w:start w:val="1"/>
      <w:numFmt w:val="decimal"/>
      <w:lvlText w:val="%1."/>
      <w:lvlJc w:val="center"/>
      <w:pPr>
        <w:ind w:left="720" w:hanging="360"/>
      </w:pPr>
      <w:rPr>
        <w:rFonts w:hint="default"/>
        <w:b/>
        <w:bCs/>
        <w:color w:val="156082"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37443"/>
    <w:multiLevelType w:val="hybridMultilevel"/>
    <w:tmpl w:val="0100B6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0C5CB2"/>
    <w:multiLevelType w:val="hybridMultilevel"/>
    <w:tmpl w:val="72DCF25E"/>
    <w:lvl w:ilvl="0" w:tplc="FFFFFFFF">
      <w:start w:val="1"/>
      <w:numFmt w:val="decimal"/>
      <w:lvlText w:val="%1."/>
      <w:lvlJc w:val="center"/>
      <w:pPr>
        <w:ind w:left="720" w:hanging="360"/>
      </w:pPr>
      <w:rPr>
        <w:rFonts w:hint="default"/>
        <w:b/>
        <w:bCs/>
        <w:color w:val="156082"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4367F6"/>
    <w:multiLevelType w:val="hybridMultilevel"/>
    <w:tmpl w:val="A8565D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A47AC1"/>
    <w:multiLevelType w:val="hybridMultilevel"/>
    <w:tmpl w:val="6FAA433E"/>
    <w:lvl w:ilvl="0" w:tplc="FFFFFFFF">
      <w:start w:val="1"/>
      <w:numFmt w:val="decimal"/>
      <w:lvlText w:val="%1."/>
      <w:lvlJc w:val="center"/>
      <w:pPr>
        <w:ind w:left="720" w:hanging="360"/>
      </w:pPr>
      <w:rPr>
        <w:rFonts w:hint="default"/>
        <w:b/>
        <w:bCs/>
        <w:color w:val="156082"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031956"/>
    <w:multiLevelType w:val="hybridMultilevel"/>
    <w:tmpl w:val="880A91EA"/>
    <w:lvl w:ilvl="0" w:tplc="66ECEED4">
      <w:start w:val="1"/>
      <w:numFmt w:val="lowerLetter"/>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AB3DE9"/>
    <w:multiLevelType w:val="hybridMultilevel"/>
    <w:tmpl w:val="D6D66240"/>
    <w:lvl w:ilvl="0" w:tplc="FFFFFFFF">
      <w:start w:val="1"/>
      <w:numFmt w:val="decimal"/>
      <w:lvlText w:val="%1."/>
      <w:lvlJc w:val="center"/>
      <w:pPr>
        <w:ind w:left="720" w:hanging="360"/>
      </w:pPr>
      <w:rPr>
        <w:rFonts w:hint="default"/>
        <w:b/>
        <w:bCs/>
        <w:color w:val="156082"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BB6B9A"/>
    <w:multiLevelType w:val="hybridMultilevel"/>
    <w:tmpl w:val="B3E877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5FA3CAB"/>
    <w:multiLevelType w:val="hybridMultilevel"/>
    <w:tmpl w:val="6C5C8A78"/>
    <w:lvl w:ilvl="0" w:tplc="5012170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7A2C3380"/>
    <w:multiLevelType w:val="hybridMultilevel"/>
    <w:tmpl w:val="F3E0A3C4"/>
    <w:lvl w:ilvl="0" w:tplc="79701940">
      <w:start w:val="1"/>
      <w:numFmt w:val="bullet"/>
      <w:lvlText w:val="-"/>
      <w:lvlJc w:val="left"/>
      <w:pPr>
        <w:ind w:left="720" w:hanging="360"/>
      </w:pPr>
      <w:rPr>
        <w:rFonts w:ascii="Bookman Old Style" w:eastAsiaTheme="minorHAnsi" w:hAnsi="Bookman Old Style"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71598745">
    <w:abstractNumId w:val="6"/>
  </w:num>
  <w:num w:numId="2" w16cid:durableId="357968762">
    <w:abstractNumId w:val="1"/>
  </w:num>
  <w:num w:numId="3" w16cid:durableId="239564942">
    <w:abstractNumId w:val="11"/>
  </w:num>
  <w:num w:numId="4" w16cid:durableId="930435282">
    <w:abstractNumId w:val="12"/>
  </w:num>
  <w:num w:numId="5" w16cid:durableId="1619946495">
    <w:abstractNumId w:val="8"/>
  </w:num>
  <w:num w:numId="6" w16cid:durableId="1036465623">
    <w:abstractNumId w:val="3"/>
  </w:num>
  <w:num w:numId="7" w16cid:durableId="1434664263">
    <w:abstractNumId w:val="9"/>
  </w:num>
  <w:num w:numId="8" w16cid:durableId="1119688230">
    <w:abstractNumId w:val="10"/>
  </w:num>
  <w:num w:numId="9" w16cid:durableId="415051487">
    <w:abstractNumId w:val="2"/>
  </w:num>
  <w:num w:numId="10" w16cid:durableId="1513910879">
    <w:abstractNumId w:val="4"/>
  </w:num>
  <w:num w:numId="11" w16cid:durableId="1466049323">
    <w:abstractNumId w:val="5"/>
  </w:num>
  <w:num w:numId="12" w16cid:durableId="150295861">
    <w:abstractNumId w:val="7"/>
  </w:num>
  <w:num w:numId="13" w16cid:durableId="105789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3D"/>
    <w:rsid w:val="000547FB"/>
    <w:rsid w:val="00061949"/>
    <w:rsid w:val="00080054"/>
    <w:rsid w:val="00085C0E"/>
    <w:rsid w:val="00095F38"/>
    <w:rsid w:val="000C21AA"/>
    <w:rsid w:val="000F3822"/>
    <w:rsid w:val="00132B7C"/>
    <w:rsid w:val="00133296"/>
    <w:rsid w:val="00197A5F"/>
    <w:rsid w:val="001A5B9E"/>
    <w:rsid w:val="001B54A1"/>
    <w:rsid w:val="002339DB"/>
    <w:rsid w:val="00290FE4"/>
    <w:rsid w:val="002B32F5"/>
    <w:rsid w:val="002D2D0B"/>
    <w:rsid w:val="0031576B"/>
    <w:rsid w:val="00327912"/>
    <w:rsid w:val="003314AD"/>
    <w:rsid w:val="00341D3B"/>
    <w:rsid w:val="0035688D"/>
    <w:rsid w:val="003A3527"/>
    <w:rsid w:val="003D43B7"/>
    <w:rsid w:val="003D6706"/>
    <w:rsid w:val="004544E8"/>
    <w:rsid w:val="00466F0F"/>
    <w:rsid w:val="00471A87"/>
    <w:rsid w:val="0047403D"/>
    <w:rsid w:val="00491A97"/>
    <w:rsid w:val="004951C7"/>
    <w:rsid w:val="004A191A"/>
    <w:rsid w:val="004A32D5"/>
    <w:rsid w:val="004C2D37"/>
    <w:rsid w:val="0052486D"/>
    <w:rsid w:val="00530501"/>
    <w:rsid w:val="00542438"/>
    <w:rsid w:val="005A6FFE"/>
    <w:rsid w:val="005C296F"/>
    <w:rsid w:val="005D2714"/>
    <w:rsid w:val="005E0B45"/>
    <w:rsid w:val="00606ACD"/>
    <w:rsid w:val="00616A42"/>
    <w:rsid w:val="00661145"/>
    <w:rsid w:val="00665C31"/>
    <w:rsid w:val="0067487A"/>
    <w:rsid w:val="00694E1D"/>
    <w:rsid w:val="006D3E79"/>
    <w:rsid w:val="00720219"/>
    <w:rsid w:val="0072343C"/>
    <w:rsid w:val="0073247C"/>
    <w:rsid w:val="00736346"/>
    <w:rsid w:val="00786339"/>
    <w:rsid w:val="00796FC0"/>
    <w:rsid w:val="00823C65"/>
    <w:rsid w:val="0082545F"/>
    <w:rsid w:val="008302C1"/>
    <w:rsid w:val="00840DA1"/>
    <w:rsid w:val="00846178"/>
    <w:rsid w:val="00864FDC"/>
    <w:rsid w:val="008664B5"/>
    <w:rsid w:val="00875670"/>
    <w:rsid w:val="00892879"/>
    <w:rsid w:val="00894A62"/>
    <w:rsid w:val="008A1B2D"/>
    <w:rsid w:val="0091442E"/>
    <w:rsid w:val="00934D24"/>
    <w:rsid w:val="00960C56"/>
    <w:rsid w:val="00964C0B"/>
    <w:rsid w:val="00986521"/>
    <w:rsid w:val="009B6B65"/>
    <w:rsid w:val="009D1912"/>
    <w:rsid w:val="009D3A89"/>
    <w:rsid w:val="009E7075"/>
    <w:rsid w:val="009F3B75"/>
    <w:rsid w:val="00A005EB"/>
    <w:rsid w:val="00A30965"/>
    <w:rsid w:val="00A34829"/>
    <w:rsid w:val="00A4575F"/>
    <w:rsid w:val="00AA2233"/>
    <w:rsid w:val="00AF2F79"/>
    <w:rsid w:val="00B031A9"/>
    <w:rsid w:val="00B42FDD"/>
    <w:rsid w:val="00B94453"/>
    <w:rsid w:val="00BA0F73"/>
    <w:rsid w:val="00BD4D83"/>
    <w:rsid w:val="00C81D9E"/>
    <w:rsid w:val="00CB2C11"/>
    <w:rsid w:val="00CE0A79"/>
    <w:rsid w:val="00D1492D"/>
    <w:rsid w:val="00DA10FA"/>
    <w:rsid w:val="00DA360A"/>
    <w:rsid w:val="00DB73B0"/>
    <w:rsid w:val="00DC3ED9"/>
    <w:rsid w:val="00E467BC"/>
    <w:rsid w:val="00E80738"/>
    <w:rsid w:val="00E97DBB"/>
    <w:rsid w:val="00EA686A"/>
    <w:rsid w:val="00ED79CA"/>
    <w:rsid w:val="00F55F87"/>
    <w:rsid w:val="00F5770F"/>
    <w:rsid w:val="00F74C28"/>
    <w:rsid w:val="00F92F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4D16"/>
  <w15:chartTrackingRefBased/>
  <w15:docId w15:val="{3C8556DB-D999-4BDB-9488-E4524F00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403D"/>
  </w:style>
  <w:style w:type="paragraph" w:styleId="Titolo1">
    <w:name w:val="heading 1"/>
    <w:basedOn w:val="Normale"/>
    <w:next w:val="Normale"/>
    <w:link w:val="Titolo1Carattere"/>
    <w:uiPriority w:val="9"/>
    <w:qFormat/>
    <w:rsid w:val="00474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74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7403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7403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7403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7403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7403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7403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7403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403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7403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7403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7403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7403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7403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403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403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403D"/>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4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403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403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403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403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403D"/>
    <w:rPr>
      <w:i/>
      <w:iCs/>
      <w:color w:val="404040" w:themeColor="text1" w:themeTint="BF"/>
    </w:rPr>
  </w:style>
  <w:style w:type="paragraph" w:styleId="Paragrafoelenco">
    <w:name w:val="List Paragraph"/>
    <w:aliases w:val="Punto elenco 1,Paragraphe EI,Paragraphe de liste1,EC,Bullet List,FooterText,lp1,List Paragraph1,lp11,List Paragraph11,Use Case List Paragraph,numbered,Bulletr List Paragraph,列出段落,列出段落1,Bullet 1,Trattino,List Paragraph2,Bullet edison,3,l"/>
    <w:basedOn w:val="Normale"/>
    <w:link w:val="ParagrafoelencoCarattere"/>
    <w:uiPriority w:val="34"/>
    <w:qFormat/>
    <w:rsid w:val="0047403D"/>
    <w:pPr>
      <w:ind w:left="720"/>
      <w:contextualSpacing/>
    </w:pPr>
  </w:style>
  <w:style w:type="character" w:styleId="Enfasiintensa">
    <w:name w:val="Intense Emphasis"/>
    <w:basedOn w:val="Carpredefinitoparagrafo"/>
    <w:uiPriority w:val="21"/>
    <w:qFormat/>
    <w:rsid w:val="0047403D"/>
    <w:rPr>
      <w:i/>
      <w:iCs/>
      <w:color w:val="0F4761" w:themeColor="accent1" w:themeShade="BF"/>
    </w:rPr>
  </w:style>
  <w:style w:type="paragraph" w:styleId="Citazioneintensa">
    <w:name w:val="Intense Quote"/>
    <w:basedOn w:val="Normale"/>
    <w:next w:val="Normale"/>
    <w:link w:val="CitazioneintensaCarattere"/>
    <w:uiPriority w:val="30"/>
    <w:qFormat/>
    <w:rsid w:val="00474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7403D"/>
    <w:rPr>
      <w:i/>
      <w:iCs/>
      <w:color w:val="0F4761" w:themeColor="accent1" w:themeShade="BF"/>
    </w:rPr>
  </w:style>
  <w:style w:type="character" w:styleId="Riferimentointenso">
    <w:name w:val="Intense Reference"/>
    <w:basedOn w:val="Carpredefinitoparagrafo"/>
    <w:uiPriority w:val="32"/>
    <w:qFormat/>
    <w:rsid w:val="0047403D"/>
    <w:rPr>
      <w:b/>
      <w:bCs/>
      <w:smallCaps/>
      <w:color w:val="0F4761" w:themeColor="accent1" w:themeShade="BF"/>
      <w:spacing w:val="5"/>
    </w:rPr>
  </w:style>
  <w:style w:type="character" w:customStyle="1" w:styleId="ParagrafoelencoCarattere">
    <w:name w:val="Paragrafo elenco Carattere"/>
    <w:aliases w:val="Punto elenco 1 Carattere,Paragraphe EI Carattere,Paragraphe de liste1 Carattere,EC Carattere,Bullet List Carattere,FooterText Carattere,lp1 Carattere,List Paragraph1 Carattere,lp11 Carattere,List Paragraph11 Carattere"/>
    <w:link w:val="Paragrafoelenco"/>
    <w:uiPriority w:val="34"/>
    <w:qFormat/>
    <w:locked/>
    <w:rsid w:val="00DA10FA"/>
  </w:style>
  <w:style w:type="paragraph" w:styleId="Intestazione">
    <w:name w:val="header"/>
    <w:basedOn w:val="Normale"/>
    <w:link w:val="IntestazioneCarattere"/>
    <w:uiPriority w:val="99"/>
    <w:unhideWhenUsed/>
    <w:rsid w:val="00F92F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2F7E"/>
  </w:style>
  <w:style w:type="paragraph" w:styleId="Pidipagina">
    <w:name w:val="footer"/>
    <w:basedOn w:val="Normale"/>
    <w:link w:val="PidipaginaCarattere"/>
    <w:uiPriority w:val="99"/>
    <w:unhideWhenUsed/>
    <w:rsid w:val="00F92F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2F7E"/>
  </w:style>
  <w:style w:type="character" w:customStyle="1" w:styleId="gmail-wk-tooltip-wrapper">
    <w:name w:val="gmail-wk-tooltip-wrapper"/>
    <w:basedOn w:val="Carpredefinitoparagrafo"/>
    <w:rsid w:val="00694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jure.lefebvregiuffre.it/dettaglio/fonte/L_______20250808000000000000118contextmenu11682103%7C14436177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5AF09-5A5A-4B01-8A4B-7EBFAB2E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1772</Words>
  <Characters>10106</Characters>
  <Application>Microsoft Office Word</Application>
  <DocSecurity>0</DocSecurity>
  <Lines>84</Lines>
  <Paragraphs>23</Paragraphs>
  <ScaleCrop>false</ScaleCrop>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Caponi</dc:creator>
  <cp:keywords/>
  <dc:description/>
  <cp:lastModifiedBy>Mariella Sorrenti</cp:lastModifiedBy>
  <cp:revision>3</cp:revision>
  <cp:lastPrinted>2026-07-02T14:15:00Z</cp:lastPrinted>
  <dcterms:created xsi:type="dcterms:W3CDTF">2026-07-06T12:14:00Z</dcterms:created>
  <dcterms:modified xsi:type="dcterms:W3CDTF">2026-07-07T07:49:00Z</dcterms:modified>
</cp:coreProperties>
</file>